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ascii="黑体" w:hAnsi="宋体" w:eastAsia="黑体" w:cs="黑体"/>
          <w:b w:val="0"/>
          <w:i w:val="0"/>
          <w:caps w:val="0"/>
          <w:color w:val="333333"/>
          <w:spacing w:val="8"/>
          <w:sz w:val="36"/>
          <w:szCs w:val="36"/>
          <w:shd w:val="clear" w:color="080000" w:fill="FFFFFF"/>
        </w:rPr>
      </w:pPr>
      <w:r>
        <w:rPr>
          <w:rFonts w:hint="eastAsia" w:ascii="黑体" w:hAnsi="宋体" w:eastAsia="黑体" w:cs="黑体"/>
          <w:b w:val="0"/>
          <w:i w:val="0"/>
          <w:caps w:val="0"/>
          <w:color w:val="333333"/>
          <w:spacing w:val="8"/>
          <w:sz w:val="36"/>
          <w:szCs w:val="36"/>
          <w:shd w:val="clear" w:color="080000" w:fill="FFFFFF"/>
          <w:lang w:eastAsia="zh-CN"/>
        </w:rPr>
        <w:t>琼中黎族苗族自治县</w:t>
      </w:r>
      <w:r>
        <w:rPr>
          <w:rFonts w:ascii="黑体" w:hAnsi="宋体" w:eastAsia="黑体" w:cs="黑体"/>
          <w:b w:val="0"/>
          <w:i w:val="0"/>
          <w:caps w:val="0"/>
          <w:color w:val="333333"/>
          <w:spacing w:val="8"/>
          <w:sz w:val="36"/>
          <w:szCs w:val="36"/>
          <w:shd w:val="clear" w:color="080000" w:fill="FFFFFF"/>
        </w:rPr>
        <w:t>第四次全国经济普查公报</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Microsoft YaHei UI" w:hAnsi="Microsoft YaHei UI" w:eastAsia="Microsoft YaHei UI" w:cs="Microsoft YaHei UI"/>
          <w:spacing w:val="8"/>
        </w:rPr>
      </w:pPr>
      <w:r>
        <w:rPr>
          <w:rFonts w:ascii="黑体" w:hAnsi="宋体" w:eastAsia="黑体" w:cs="黑体"/>
          <w:b w:val="0"/>
          <w:i w:val="0"/>
          <w:caps w:val="0"/>
          <w:color w:val="333333"/>
          <w:spacing w:val="8"/>
          <w:sz w:val="36"/>
          <w:szCs w:val="36"/>
          <w:shd w:val="clear" w:color="080000" w:fill="FFFFFF"/>
        </w:rPr>
        <w:t>（第四号）</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Microsoft YaHei UI" w:hAnsi="Microsoft YaHei UI" w:eastAsia="Microsoft YaHei UI" w:cs="Microsoft YaHei UI"/>
          <w:spacing w:val="8"/>
        </w:rPr>
      </w:pPr>
      <w:r>
        <w:rPr>
          <w:rFonts w:hint="eastAsia" w:ascii="黑体" w:hAnsi="宋体" w:eastAsia="黑体" w:cs="黑体"/>
          <w:b w:val="0"/>
          <w:i w:val="0"/>
          <w:caps w:val="0"/>
          <w:color w:val="333333"/>
          <w:spacing w:val="8"/>
          <w:sz w:val="27"/>
          <w:szCs w:val="27"/>
          <w:shd w:val="clear" w:color="080000" w:fill="FFFFFF"/>
        </w:rPr>
        <w:t>——第三产业基本情况之一</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both"/>
        <w:textAlignment w:val="baseline"/>
        <w:rPr>
          <w:rFonts w:hint="eastAsia" w:ascii="Microsoft YaHei UI" w:hAnsi="Microsoft YaHei UI" w:eastAsia="Microsoft YaHei UI" w:cs="Microsoft YaHei UI"/>
          <w:spacing w:val="8"/>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lang w:eastAsia="zh-CN"/>
        </w:rPr>
      </w:pPr>
      <w:r>
        <w:rPr>
          <w:rFonts w:hint="eastAsia" w:ascii="宋体" w:hAnsi="宋体" w:eastAsia="宋体" w:cs="宋体"/>
          <w:caps w:val="0"/>
          <w:color w:val="333333"/>
          <w:spacing w:val="8"/>
          <w:sz w:val="27"/>
          <w:szCs w:val="27"/>
          <w:shd w:val="clear" w:color="060000" w:fill="FFFFFF"/>
          <w:lang w:eastAsia="zh-CN"/>
        </w:rPr>
        <w:t>琼</w:t>
      </w:r>
      <w:r>
        <w:rPr>
          <w:rFonts w:hint="eastAsia" w:ascii="宋体" w:hAnsi="宋体" w:eastAsia="宋体" w:cs="宋体"/>
          <w:caps w:val="0"/>
          <w:color w:val="333333"/>
          <w:spacing w:val="8"/>
          <w:sz w:val="27"/>
          <w:szCs w:val="27"/>
          <w:shd w:val="clear" w:color="060000" w:fill="FFFFFF"/>
          <w:lang w:eastAsia="zh-CN"/>
        </w:rPr>
        <w:t>中黎族苗族自治县统计局</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lang w:eastAsia="zh-CN"/>
        </w:rPr>
      </w:pPr>
      <w:r>
        <w:rPr>
          <w:rFonts w:hint="eastAsia" w:ascii="宋体" w:hAnsi="宋体" w:eastAsia="宋体" w:cs="宋体"/>
          <w:caps w:val="0"/>
          <w:color w:val="333333"/>
          <w:spacing w:val="8"/>
          <w:sz w:val="27"/>
          <w:szCs w:val="27"/>
          <w:shd w:val="clear" w:color="060000" w:fill="FFFFFF"/>
          <w:lang w:eastAsia="zh-CN"/>
        </w:rPr>
        <w:t>琼中黎族苗族自治县人民政府第四次全国经济普查领导小组办公室</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rPr>
      </w:pPr>
      <w:r>
        <w:rPr>
          <w:rFonts w:hint="eastAsia" w:ascii="宋体" w:hAnsi="宋体" w:eastAsia="宋体" w:cs="宋体"/>
          <w:caps w:val="0"/>
          <w:color w:val="333333"/>
          <w:spacing w:val="8"/>
          <w:sz w:val="27"/>
          <w:szCs w:val="27"/>
          <w:shd w:val="clear" w:color="060000" w:fill="FFFFFF"/>
        </w:rPr>
        <w:t>2020年</w:t>
      </w:r>
      <w:r>
        <w:rPr>
          <w:rFonts w:hint="eastAsia" w:ascii="宋体" w:hAnsi="宋体" w:eastAsia="宋体" w:cs="宋体"/>
          <w:caps w:val="0"/>
          <w:color w:val="333333"/>
          <w:spacing w:val="8"/>
          <w:sz w:val="27"/>
          <w:szCs w:val="27"/>
          <w:shd w:val="clear" w:color="060000" w:fill="FFFFFF"/>
          <w:lang w:val="en-US" w:eastAsia="zh-CN"/>
        </w:rPr>
        <w:t>8</w:t>
      </w:r>
      <w:r>
        <w:rPr>
          <w:rFonts w:hint="eastAsia" w:ascii="宋体" w:hAnsi="宋体" w:eastAsia="宋体" w:cs="宋体"/>
          <w:caps w:val="0"/>
          <w:color w:val="333333"/>
          <w:spacing w:val="8"/>
          <w:sz w:val="27"/>
          <w:szCs w:val="27"/>
          <w:shd w:val="clear" w:color="060000" w:fill="FFFFFF"/>
        </w:rPr>
        <w:t>月</w:t>
      </w:r>
      <w:r>
        <w:rPr>
          <w:rFonts w:hint="eastAsia" w:ascii="宋体" w:hAnsi="宋体" w:eastAsia="宋体" w:cs="宋体"/>
          <w:caps w:val="0"/>
          <w:color w:val="333333"/>
          <w:spacing w:val="8"/>
          <w:sz w:val="27"/>
          <w:szCs w:val="27"/>
          <w:shd w:val="clear" w:color="060000" w:fill="FFFFFF"/>
          <w:lang w:val="en-US" w:eastAsia="zh-CN"/>
        </w:rPr>
        <w:t xml:space="preserve"> 5</w:t>
      </w:r>
      <w:r>
        <w:rPr>
          <w:rFonts w:hint="eastAsia" w:ascii="宋体" w:hAnsi="宋体" w:eastAsia="宋体" w:cs="宋体"/>
          <w:caps w:val="0"/>
          <w:color w:val="333333"/>
          <w:spacing w:val="8"/>
          <w:sz w:val="27"/>
          <w:szCs w:val="27"/>
          <w:shd w:val="clear" w:color="060000" w:fill="FFFFFF"/>
        </w:rPr>
        <w:t>日</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both"/>
        <w:textAlignment w:val="baseline"/>
        <w:rPr>
          <w:rFonts w:hint="eastAsia" w:ascii="Microsoft YaHei UI" w:hAnsi="Microsoft YaHei UI" w:eastAsia="Microsoft YaHei UI" w:cs="Microsoft YaHei UI"/>
          <w:spacing w:val="8"/>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根据</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琼中黎族苗族自治县</w:t>
      </w:r>
      <w:r>
        <w:rPr>
          <w:rFonts w:hint="eastAsia" w:ascii="Microsoft YaHei UI" w:hAnsi="Microsoft YaHei UI" w:eastAsia="Microsoft YaHei UI" w:cs="Microsoft YaHei UI"/>
          <w:b w:val="0"/>
          <w:i w:val="0"/>
          <w:caps w:val="0"/>
          <w:color w:val="333333"/>
          <w:spacing w:val="8"/>
          <w:sz w:val="25"/>
          <w:szCs w:val="25"/>
          <w:shd w:val="clear" w:color="080000" w:fill="FFFFFF"/>
        </w:rPr>
        <w:t>第四次全国经济普查结果，现将我</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县</w:t>
      </w:r>
      <w:r>
        <w:rPr>
          <w:rFonts w:hint="eastAsia" w:ascii="Microsoft YaHei UI" w:hAnsi="Microsoft YaHei UI" w:eastAsia="Microsoft YaHei UI" w:cs="Microsoft YaHei UI"/>
          <w:b w:val="0"/>
          <w:i w:val="0"/>
          <w:caps w:val="0"/>
          <w:color w:val="333333"/>
          <w:spacing w:val="8"/>
          <w:sz w:val="25"/>
          <w:szCs w:val="25"/>
          <w:shd w:val="clear" w:color="080000" w:fill="FFFFFF"/>
        </w:rPr>
        <w:t>第三产业中批发和零售业，交通运输、仓储和邮政业，住宿和餐饮业，信息传输、软件和信息技术服务业，金融业，房地产业，租赁和商务服务业的主要数据公布如下：</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黑体" w:hAnsi="宋体" w:eastAsia="黑体" w:cs="黑体"/>
          <w:b w:val="0"/>
          <w:i w:val="0"/>
          <w:caps w:val="0"/>
          <w:color w:val="333333"/>
          <w:spacing w:val="8"/>
          <w:sz w:val="25"/>
          <w:szCs w:val="25"/>
          <w:shd w:val="clear" w:color="080000" w:fill="FFFFFF"/>
        </w:rPr>
        <w:t>一、批发和零售业</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r>
        <w:rPr>
          <w:rFonts w:hint="eastAsia" w:ascii="Microsoft YaHei UI" w:hAnsi="Microsoft YaHei UI" w:eastAsia="Microsoft YaHei UI" w:cs="Microsoft YaHei UI"/>
          <w:b w:val="0"/>
          <w:i w:val="0"/>
          <w:caps w:val="0"/>
          <w:color w:val="333333"/>
          <w:spacing w:val="8"/>
          <w:sz w:val="25"/>
          <w:szCs w:val="25"/>
          <w:shd w:val="clear" w:color="080000" w:fill="FFFFFF"/>
        </w:rPr>
        <w:t>（一）企业法人单位数和从业人员。</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2018年末，全</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县</w:t>
      </w:r>
      <w:r>
        <w:rPr>
          <w:rFonts w:hint="eastAsia" w:ascii="Microsoft YaHei UI" w:hAnsi="Microsoft YaHei UI" w:eastAsia="Microsoft YaHei UI" w:cs="Microsoft YaHei UI"/>
          <w:b w:val="0"/>
          <w:i w:val="0"/>
          <w:caps w:val="0"/>
          <w:color w:val="333333"/>
          <w:spacing w:val="8"/>
          <w:sz w:val="25"/>
          <w:szCs w:val="25"/>
          <w:shd w:val="clear" w:color="080000" w:fill="FFFFFF"/>
        </w:rPr>
        <w:t>共有批发和零售业企业法人单位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64</w:t>
      </w:r>
      <w:r>
        <w:rPr>
          <w:rFonts w:hint="eastAsia" w:ascii="Microsoft YaHei UI" w:hAnsi="Microsoft YaHei UI" w:eastAsia="Microsoft YaHei UI" w:cs="Microsoft YaHei UI"/>
          <w:b w:val="0"/>
          <w:i w:val="0"/>
          <w:caps w:val="0"/>
          <w:color w:val="333333"/>
          <w:spacing w:val="8"/>
          <w:sz w:val="25"/>
          <w:szCs w:val="25"/>
          <w:shd w:val="clear" w:color="080000" w:fill="FFFFFF"/>
        </w:rPr>
        <w:t>个，从业人员</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781</w:t>
      </w:r>
      <w:r>
        <w:rPr>
          <w:rFonts w:hint="eastAsia" w:ascii="Microsoft YaHei UI" w:hAnsi="Microsoft YaHei UI" w:eastAsia="Microsoft YaHei UI" w:cs="Microsoft YaHei UI"/>
          <w:b w:val="0"/>
          <w:i w:val="0"/>
          <w:caps w:val="0"/>
          <w:color w:val="333333"/>
          <w:spacing w:val="8"/>
          <w:sz w:val="25"/>
          <w:szCs w:val="25"/>
          <w:shd w:val="clear" w:color="080000" w:fill="FFFFFF"/>
        </w:rPr>
        <w:t>人，分别比2013年末增长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12.28</w:t>
      </w:r>
      <w:r>
        <w:rPr>
          <w:rFonts w:hint="eastAsia" w:ascii="Microsoft YaHei UI" w:hAnsi="Microsoft YaHei UI" w:eastAsia="Microsoft YaHei UI" w:cs="Microsoft YaHei UI"/>
          <w:b w:val="0"/>
          <w:i w:val="0"/>
          <w:caps w:val="0"/>
          <w:color w:val="333333"/>
          <w:spacing w:val="8"/>
          <w:sz w:val="25"/>
          <w:szCs w:val="25"/>
          <w:shd w:val="clear" w:color="080000" w:fill="FFFFFF"/>
        </w:rPr>
        <w:t>%和</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下降31.19</w:t>
      </w:r>
      <w:r>
        <w:rPr>
          <w:rFonts w:hint="eastAsia" w:ascii="Microsoft YaHei UI" w:hAnsi="Microsoft YaHei UI" w:eastAsia="Microsoft YaHei UI" w:cs="Microsoft YaHei UI"/>
          <w:b w:val="0"/>
          <w:i w:val="0"/>
          <w:caps w:val="0"/>
          <w:color w:val="333333"/>
          <w:spacing w:val="8"/>
          <w:sz w:val="25"/>
          <w:szCs w:val="25"/>
          <w:shd w:val="clear" w:color="080000" w:fill="FFFFFF"/>
        </w:rPr>
        <w:t>%。</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在批发和零售业企业法人单位中，批发业占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54.69</w:t>
      </w:r>
      <w:r>
        <w:rPr>
          <w:rFonts w:hint="eastAsia" w:ascii="Microsoft YaHei UI" w:hAnsi="Microsoft YaHei UI" w:eastAsia="Microsoft YaHei UI" w:cs="Microsoft YaHei UI"/>
          <w:b w:val="0"/>
          <w:i w:val="0"/>
          <w:caps w:val="0"/>
          <w:color w:val="333333"/>
          <w:spacing w:val="8"/>
          <w:sz w:val="25"/>
          <w:szCs w:val="25"/>
          <w:shd w:val="clear" w:color="080000" w:fill="FFFFFF"/>
        </w:rPr>
        <w:t>%，零售业占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45.31</w:t>
      </w:r>
      <w:r>
        <w:rPr>
          <w:rFonts w:hint="eastAsia" w:ascii="Microsoft YaHei UI" w:hAnsi="Microsoft YaHei UI" w:eastAsia="Microsoft YaHei UI" w:cs="Microsoft YaHei UI"/>
          <w:b w:val="0"/>
          <w:i w:val="0"/>
          <w:caps w:val="0"/>
          <w:color w:val="333333"/>
          <w:spacing w:val="8"/>
          <w:sz w:val="25"/>
          <w:szCs w:val="25"/>
          <w:shd w:val="clear" w:color="080000" w:fill="FFFFFF"/>
        </w:rPr>
        <w:t>%。在批发和零售业企业法人单位从业人员中，批发业占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71.45</w:t>
      </w:r>
      <w:r>
        <w:rPr>
          <w:rFonts w:hint="eastAsia" w:ascii="Microsoft YaHei UI" w:hAnsi="Microsoft YaHei UI" w:eastAsia="Microsoft YaHei UI" w:cs="Microsoft YaHei UI"/>
          <w:b w:val="0"/>
          <w:i w:val="0"/>
          <w:caps w:val="0"/>
          <w:color w:val="333333"/>
          <w:spacing w:val="8"/>
          <w:sz w:val="25"/>
          <w:szCs w:val="25"/>
          <w:shd w:val="clear" w:color="080000" w:fill="FFFFFF"/>
        </w:rPr>
        <w:t>%，零售业占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28.55</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%（详见表4-1）。</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4991"/>
        <w:gridCol w:w="1912"/>
        <w:gridCol w:w="13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240" w:lineRule="exac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4-1</w:t>
            </w:r>
            <w:r>
              <w:rPr>
                <w:rFonts w:hint="eastAsia" w:ascii="宋体" w:hAnsi="宋体" w:cs="宋体"/>
                <w:b/>
                <w:bCs/>
                <w:kern w:val="0"/>
                <w:sz w:val="24"/>
              </w:rPr>
              <w:t>　按行业中类分组的批发和零售业企业法人单位和从业人员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998" w:type="dxa"/>
            <w:gridSpan w:val="2"/>
            <w:tcBorders>
              <w:top w:val="nil"/>
              <w:left w:val="nil"/>
              <w:bottom w:val="single" w:color="auto" w:sz="4" w:space="0"/>
              <w:right w:val="single" w:color="auto" w:sz="4" w:space="0"/>
            </w:tcBorders>
            <w:vAlign w:val="center"/>
          </w:tcPr>
          <w:p>
            <w:pPr>
              <w:widowControl/>
              <w:spacing w:line="240" w:lineRule="exact"/>
              <w:ind w:left="57" w:right="57"/>
              <w:jc w:val="center"/>
              <w:rPr>
                <w:rFonts w:ascii="宋体" w:hAnsi="宋体" w:cs="宋体"/>
                <w:b/>
                <w:kern w:val="0"/>
                <w:sz w:val="18"/>
                <w:szCs w:val="18"/>
              </w:rPr>
            </w:pPr>
            <w:r>
              <w:rPr>
                <w:rFonts w:hint="eastAsia" w:ascii="宋体" w:hAnsi="宋体" w:cs="宋体"/>
                <w:b/>
                <w:kern w:val="0"/>
                <w:szCs w:val="21"/>
              </w:rPr>
              <w:t>　</w:t>
            </w:r>
          </w:p>
        </w:tc>
        <w:tc>
          <w:tcPr>
            <w:tcW w:w="1912" w:type="dxa"/>
            <w:tcBorders>
              <w:top w:val="nil"/>
              <w:left w:val="single" w:color="auto" w:sz="4" w:space="0"/>
              <w:bottom w:val="single" w:color="auto" w:sz="4" w:space="0"/>
              <w:right w:val="single" w:color="auto" w:sz="4" w:space="0"/>
            </w:tcBorders>
            <w:vAlign w:val="center"/>
          </w:tcPr>
          <w:p>
            <w:pPr>
              <w:widowControl/>
              <w:spacing w:line="240" w:lineRule="exact"/>
              <w:ind w:left="57" w:right="57"/>
              <w:jc w:val="center"/>
              <w:rPr>
                <w:rFonts w:ascii="宋体" w:hAnsi="宋体" w:cs="宋体"/>
                <w:b/>
                <w:kern w:val="0"/>
                <w:sz w:val="18"/>
                <w:szCs w:val="18"/>
              </w:rPr>
            </w:pPr>
            <w:r>
              <w:rPr>
                <w:rFonts w:hint="eastAsia" w:ascii="宋体" w:hAnsi="宋体" w:cs="宋体"/>
                <w:b/>
                <w:kern w:val="0"/>
                <w:szCs w:val="21"/>
              </w:rPr>
              <w:t>企业法人单位</w:t>
            </w:r>
          </w:p>
          <w:p>
            <w:pPr>
              <w:widowControl/>
              <w:spacing w:line="240" w:lineRule="exact"/>
              <w:ind w:left="57" w:right="57"/>
              <w:jc w:val="center"/>
              <w:rPr>
                <w:rFonts w:ascii="宋体" w:hAnsi="宋体" w:cs="宋体"/>
                <w:b/>
                <w:kern w:val="0"/>
                <w:sz w:val="18"/>
                <w:szCs w:val="18"/>
              </w:rPr>
            </w:pPr>
            <w:r>
              <w:rPr>
                <w:rFonts w:hint="eastAsia" w:ascii="宋体" w:hAnsi="宋体" w:cs="宋体"/>
                <w:b/>
                <w:kern w:val="0"/>
                <w:szCs w:val="21"/>
              </w:rPr>
              <w:t>（个）</w:t>
            </w:r>
          </w:p>
        </w:tc>
        <w:tc>
          <w:tcPr>
            <w:tcW w:w="1396" w:type="dxa"/>
            <w:tcBorders>
              <w:top w:val="nil"/>
              <w:left w:val="single" w:color="auto" w:sz="4" w:space="0"/>
              <w:bottom w:val="single" w:color="auto" w:sz="4" w:space="0"/>
              <w:right w:val="nil"/>
            </w:tcBorders>
            <w:vAlign w:val="center"/>
          </w:tcPr>
          <w:p>
            <w:pPr>
              <w:widowControl/>
              <w:spacing w:line="240" w:lineRule="exact"/>
              <w:ind w:left="57" w:right="57"/>
              <w:jc w:val="center"/>
              <w:rPr>
                <w:rFonts w:ascii="宋体" w:hAnsi="宋体" w:cs="宋体"/>
                <w:b/>
                <w:kern w:val="0"/>
                <w:sz w:val="18"/>
                <w:szCs w:val="18"/>
              </w:rPr>
            </w:pPr>
            <w:r>
              <w:rPr>
                <w:rFonts w:hint="eastAsia" w:ascii="宋体" w:hAnsi="宋体" w:cs="宋体"/>
                <w:b/>
                <w:kern w:val="0"/>
                <w:szCs w:val="21"/>
              </w:rPr>
              <w:t>从业人员</w:t>
            </w:r>
          </w:p>
          <w:p>
            <w:pPr>
              <w:widowControl/>
              <w:spacing w:line="240" w:lineRule="exact"/>
              <w:ind w:left="57" w:right="57"/>
              <w:jc w:val="center"/>
              <w:rPr>
                <w:rFonts w:ascii="宋体" w:hAnsi="宋体" w:cs="宋体"/>
                <w:b/>
                <w:kern w:val="0"/>
                <w:sz w:val="18"/>
                <w:szCs w:val="18"/>
              </w:rPr>
            </w:pPr>
            <w:r>
              <w:rPr>
                <w:rFonts w:hint="eastAsia" w:ascii="宋体" w:hAnsi="宋体" w:cs="宋体"/>
                <w:b/>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single" w:color="auto" w:sz="4" w:space="0"/>
              <w:left w:val="nil"/>
              <w:bottom w:val="nil"/>
              <w:right w:val="single" w:color="auto" w:sz="4" w:space="0"/>
            </w:tcBorders>
            <w:vAlign w:val="center"/>
          </w:tcPr>
          <w:p>
            <w:pPr>
              <w:widowControl/>
              <w:spacing w:line="240" w:lineRule="exact"/>
              <w:ind w:left="57" w:right="57"/>
              <w:jc w:val="center"/>
              <w:rPr>
                <w:rFonts w:ascii="宋体" w:hAnsi="宋体" w:cs="宋体"/>
                <w:kern w:val="0"/>
                <w:sz w:val="18"/>
                <w:szCs w:val="18"/>
              </w:rPr>
            </w:pPr>
            <w:r>
              <w:rPr>
                <w:rFonts w:hint="eastAsia" w:ascii="宋体" w:hAnsi="宋体" w:cs="宋体"/>
                <w:b/>
                <w:bCs/>
                <w:kern w:val="0"/>
                <w:szCs w:val="21"/>
              </w:rPr>
              <w:t>合  计</w:t>
            </w:r>
          </w:p>
        </w:tc>
        <w:tc>
          <w:tcPr>
            <w:tcW w:w="1912" w:type="dxa"/>
            <w:tcBorders>
              <w:top w:val="single" w:color="auto" w:sz="4" w:space="0"/>
              <w:left w:val="single" w:color="auto" w:sz="4" w:space="0"/>
              <w:bottom w:val="nil"/>
              <w:right w:val="single" w:color="auto" w:sz="4" w:space="0"/>
            </w:tcBorders>
            <w:vAlign w:val="center"/>
          </w:tcPr>
          <w:p>
            <w:pPr>
              <w:spacing w:line="240" w:lineRule="exact"/>
              <w:jc w:val="center"/>
              <w:rPr>
                <w:rFonts w:hint="default" w:eastAsia="宋体"/>
                <w:b/>
                <w:lang w:val="en-US" w:eastAsia="zh-CN"/>
              </w:rPr>
            </w:pPr>
            <w:r>
              <w:rPr>
                <w:rFonts w:hint="eastAsia"/>
                <w:b/>
                <w:lang w:val="en-US" w:eastAsia="zh-CN"/>
              </w:rPr>
              <w:t>64</w:t>
            </w:r>
          </w:p>
        </w:tc>
        <w:tc>
          <w:tcPr>
            <w:tcW w:w="1396" w:type="dxa"/>
            <w:tcBorders>
              <w:top w:val="single" w:color="auto" w:sz="4" w:space="0"/>
              <w:left w:val="single" w:color="auto" w:sz="4" w:space="0"/>
              <w:bottom w:val="nil"/>
              <w:right w:val="nil"/>
            </w:tcBorders>
            <w:vAlign w:val="center"/>
          </w:tcPr>
          <w:p>
            <w:pPr>
              <w:spacing w:line="240" w:lineRule="exact"/>
              <w:jc w:val="center"/>
              <w:rPr>
                <w:rFonts w:hint="default" w:eastAsia="宋体"/>
                <w:b/>
                <w:lang w:val="en-US" w:eastAsia="zh-CN"/>
              </w:rPr>
            </w:pPr>
            <w:r>
              <w:rPr>
                <w:rFonts w:hint="eastAsia"/>
                <w:b/>
                <w:lang w:val="en-US" w:eastAsia="zh-CN"/>
              </w:rPr>
              <w:t>781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98"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b/>
                <w:kern w:val="0"/>
                <w:sz w:val="18"/>
                <w:szCs w:val="18"/>
              </w:rPr>
            </w:pPr>
            <w:r>
              <w:rPr>
                <w:rFonts w:hint="eastAsia" w:ascii="宋体" w:hAnsi="宋体" w:cs="宋体"/>
                <w:b/>
                <w:kern w:val="0"/>
                <w:szCs w:val="21"/>
              </w:rPr>
              <w:t>批发业</w:t>
            </w:r>
          </w:p>
        </w:tc>
        <w:tc>
          <w:tcPr>
            <w:tcW w:w="1912" w:type="dxa"/>
            <w:tcBorders>
              <w:top w:val="nil"/>
              <w:left w:val="single" w:color="auto" w:sz="4" w:space="0"/>
              <w:bottom w:val="nil"/>
              <w:right w:val="single" w:color="auto" w:sz="4" w:space="0"/>
            </w:tcBorders>
            <w:vAlign w:val="center"/>
          </w:tcPr>
          <w:p>
            <w:pPr>
              <w:spacing w:line="240" w:lineRule="exact"/>
              <w:jc w:val="center"/>
              <w:rPr>
                <w:rFonts w:hint="default" w:eastAsia="宋体"/>
                <w:b/>
                <w:lang w:val="en-US" w:eastAsia="zh-CN"/>
              </w:rPr>
            </w:pPr>
            <w:r>
              <w:rPr>
                <w:rFonts w:hint="eastAsia"/>
                <w:b/>
                <w:lang w:val="en-US" w:eastAsia="zh-CN"/>
              </w:rPr>
              <w:t>35</w:t>
            </w:r>
          </w:p>
        </w:tc>
        <w:tc>
          <w:tcPr>
            <w:tcW w:w="1396" w:type="dxa"/>
            <w:tcBorders>
              <w:top w:val="nil"/>
              <w:left w:val="single" w:color="auto" w:sz="4" w:space="0"/>
              <w:bottom w:val="nil"/>
              <w:right w:val="nil"/>
            </w:tcBorders>
            <w:vAlign w:val="center"/>
          </w:tcPr>
          <w:p>
            <w:pPr>
              <w:spacing w:line="240" w:lineRule="exact"/>
              <w:jc w:val="center"/>
              <w:rPr>
                <w:rFonts w:hint="default" w:eastAsia="宋体"/>
                <w:b/>
                <w:lang w:val="en-US" w:eastAsia="zh-CN"/>
              </w:rPr>
            </w:pPr>
            <w:r>
              <w:rPr>
                <w:rFonts w:hint="eastAsia"/>
                <w:b/>
                <w:lang w:val="en-US" w:eastAsia="zh-CN"/>
              </w:rPr>
              <w:t>558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农、林、牧、</w:t>
            </w:r>
            <w:r>
              <w:rPr>
                <w:rFonts w:ascii="宋体" w:hAnsi="宋体" w:cs="宋体"/>
                <w:kern w:val="0"/>
                <w:szCs w:val="21"/>
              </w:rPr>
              <w:t>渔</w:t>
            </w:r>
            <w:r>
              <w:rPr>
                <w:rFonts w:hint="eastAsia" w:ascii="宋体" w:hAnsi="宋体" w:cs="宋体"/>
                <w:kern w:val="0"/>
                <w:szCs w:val="21"/>
              </w:rPr>
              <w:t>产品批发</w:t>
            </w:r>
          </w:p>
        </w:tc>
        <w:tc>
          <w:tcPr>
            <w:tcW w:w="1912" w:type="dxa"/>
            <w:tcBorders>
              <w:top w:val="nil"/>
              <w:left w:val="single" w:color="auto" w:sz="4" w:space="0"/>
              <w:bottom w:val="nil"/>
              <w:right w:val="single" w:color="auto" w:sz="4" w:space="0"/>
            </w:tcBorders>
            <w:vAlign w:val="center"/>
          </w:tcPr>
          <w:p>
            <w:pPr>
              <w:spacing w:line="240" w:lineRule="exact"/>
              <w:jc w:val="center"/>
              <w:rPr>
                <w:rFonts w:hint="default" w:eastAsia="宋体"/>
                <w:lang w:val="en-US" w:eastAsia="zh-CN"/>
              </w:rPr>
            </w:pPr>
            <w:r>
              <w:rPr>
                <w:rFonts w:hint="eastAsia"/>
                <w:lang w:val="en-US" w:eastAsia="zh-CN"/>
              </w:rPr>
              <w:t>7</w:t>
            </w: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163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68"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食品、饮料及烟草制品批发</w:t>
            </w:r>
          </w:p>
        </w:tc>
        <w:tc>
          <w:tcPr>
            <w:tcW w:w="1912" w:type="dxa"/>
            <w:tcBorders>
              <w:top w:val="nil"/>
              <w:left w:val="single" w:color="auto" w:sz="4" w:space="0"/>
              <w:bottom w:val="nil"/>
              <w:right w:val="single" w:color="auto" w:sz="4" w:space="0"/>
            </w:tcBorders>
            <w:vAlign w:val="center"/>
          </w:tcPr>
          <w:p>
            <w:pPr>
              <w:spacing w:line="240" w:lineRule="exact"/>
              <w:jc w:val="center"/>
              <w:rPr>
                <w:rFonts w:hint="default" w:eastAsia="宋体"/>
                <w:lang w:val="en-US" w:eastAsia="zh-CN"/>
              </w:rPr>
            </w:pPr>
            <w:r>
              <w:rPr>
                <w:rFonts w:hint="eastAsia"/>
                <w:lang w:val="en-US" w:eastAsia="zh-CN"/>
              </w:rPr>
              <w:t>7</w:t>
            </w: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纺织、服装及家庭用品批发</w:t>
            </w:r>
          </w:p>
        </w:tc>
        <w:tc>
          <w:tcPr>
            <w:tcW w:w="1912" w:type="dxa"/>
            <w:tcBorders>
              <w:top w:val="nil"/>
              <w:left w:val="single" w:color="auto" w:sz="4" w:space="0"/>
              <w:bottom w:val="nil"/>
              <w:right w:val="single" w:color="auto" w:sz="4" w:space="0"/>
            </w:tcBorders>
            <w:vAlign w:val="center"/>
          </w:tcPr>
          <w:p>
            <w:pPr>
              <w:spacing w:line="240" w:lineRule="exact"/>
              <w:jc w:val="center"/>
              <w:rPr>
                <w:rFonts w:hint="default" w:eastAsia="宋体"/>
                <w:lang w:val="en-US" w:eastAsia="zh-CN"/>
              </w:rPr>
            </w:pPr>
            <w:r>
              <w:rPr>
                <w:rFonts w:hint="eastAsia"/>
                <w:lang w:val="en-US" w:eastAsia="zh-CN"/>
              </w:rPr>
              <w:t>-</w:t>
            </w: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文化、体育用品及器材批发</w:t>
            </w:r>
          </w:p>
        </w:tc>
        <w:tc>
          <w:tcPr>
            <w:tcW w:w="1912" w:type="dxa"/>
            <w:tcBorders>
              <w:top w:val="nil"/>
              <w:left w:val="single" w:color="auto" w:sz="4" w:space="0"/>
              <w:bottom w:val="nil"/>
              <w:right w:val="single" w:color="auto" w:sz="4" w:space="0"/>
            </w:tcBorders>
            <w:vAlign w:val="center"/>
          </w:tcPr>
          <w:p>
            <w:pPr>
              <w:spacing w:line="240" w:lineRule="exact"/>
              <w:jc w:val="center"/>
              <w:rPr>
                <w:rFonts w:hint="default" w:eastAsia="宋体"/>
                <w:lang w:val="en-US" w:eastAsia="zh-CN"/>
              </w:rPr>
            </w:pPr>
          </w:p>
        </w:tc>
        <w:tc>
          <w:tcPr>
            <w:tcW w:w="1396"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医药及医疗器材批发</w:t>
            </w:r>
          </w:p>
        </w:tc>
        <w:tc>
          <w:tcPr>
            <w:tcW w:w="1912" w:type="dxa"/>
            <w:tcBorders>
              <w:top w:val="nil"/>
              <w:left w:val="single" w:color="auto" w:sz="4" w:space="0"/>
              <w:bottom w:val="nil"/>
              <w:right w:val="single" w:color="auto" w:sz="4" w:space="0"/>
            </w:tcBorders>
            <w:vAlign w:val="center"/>
          </w:tcPr>
          <w:p>
            <w:pPr>
              <w:spacing w:line="240" w:lineRule="exact"/>
              <w:jc w:val="center"/>
              <w:rPr>
                <w:rFonts w:hint="default" w:eastAsia="宋体"/>
                <w:lang w:val="en-US" w:eastAsia="zh-CN"/>
              </w:rPr>
            </w:pPr>
          </w:p>
        </w:tc>
        <w:tc>
          <w:tcPr>
            <w:tcW w:w="1396"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矿产品、建材及化工产品批发</w:t>
            </w:r>
          </w:p>
        </w:tc>
        <w:tc>
          <w:tcPr>
            <w:tcW w:w="1912" w:type="dxa"/>
            <w:tcBorders>
              <w:top w:val="nil"/>
              <w:left w:val="single" w:color="auto" w:sz="4" w:space="0"/>
              <w:bottom w:val="nil"/>
              <w:right w:val="single" w:color="auto" w:sz="4" w:space="0"/>
            </w:tcBorders>
            <w:vAlign w:val="center"/>
          </w:tcPr>
          <w:p>
            <w:pPr>
              <w:spacing w:line="240" w:lineRule="exact"/>
              <w:jc w:val="center"/>
              <w:rPr>
                <w:rFonts w:hint="default" w:eastAsia="宋体"/>
                <w:lang w:val="en-US" w:eastAsia="zh-CN"/>
              </w:rPr>
            </w:pPr>
            <w:r>
              <w:rPr>
                <w:rFonts w:hint="eastAsia"/>
                <w:lang w:val="en-US" w:eastAsia="zh-CN"/>
              </w:rPr>
              <w:t>19</w:t>
            </w: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302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机械设备、五金产品及电子产品批发</w:t>
            </w:r>
          </w:p>
        </w:tc>
        <w:tc>
          <w:tcPr>
            <w:tcW w:w="1912" w:type="dxa"/>
            <w:tcBorders>
              <w:top w:val="nil"/>
              <w:left w:val="single" w:color="auto" w:sz="4" w:space="0"/>
              <w:bottom w:val="nil"/>
              <w:right w:val="single" w:color="auto" w:sz="4" w:space="0"/>
            </w:tcBorders>
            <w:vAlign w:val="center"/>
          </w:tcPr>
          <w:p>
            <w:pPr>
              <w:spacing w:line="240" w:lineRule="exact"/>
              <w:jc w:val="center"/>
              <w:rPr>
                <w:rFonts w:hint="default" w:eastAsia="宋体"/>
                <w:lang w:val="en-US" w:eastAsia="zh-CN"/>
              </w:rPr>
            </w:pPr>
          </w:p>
        </w:tc>
        <w:tc>
          <w:tcPr>
            <w:tcW w:w="1396"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贸易经纪与代理</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p>
        </w:tc>
        <w:tc>
          <w:tcPr>
            <w:tcW w:w="1396"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其他批发业</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w:t>
            </w: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b/>
                <w:kern w:val="0"/>
                <w:sz w:val="18"/>
                <w:szCs w:val="18"/>
              </w:rPr>
            </w:pPr>
            <w:r>
              <w:rPr>
                <w:rFonts w:hint="eastAsia" w:ascii="宋体" w:hAnsi="宋体" w:cs="宋体"/>
                <w:b/>
                <w:kern w:val="0"/>
                <w:szCs w:val="21"/>
              </w:rPr>
              <w:t>零售业</w:t>
            </w:r>
          </w:p>
        </w:tc>
        <w:tc>
          <w:tcPr>
            <w:tcW w:w="1912" w:type="dxa"/>
            <w:tcBorders>
              <w:top w:val="nil"/>
              <w:left w:val="single" w:color="auto" w:sz="4" w:space="0"/>
              <w:bottom w:val="nil"/>
              <w:right w:val="single" w:color="auto" w:sz="4" w:space="0"/>
            </w:tcBorders>
            <w:vAlign w:val="center"/>
          </w:tcPr>
          <w:p>
            <w:pPr>
              <w:spacing w:line="240" w:lineRule="exact"/>
              <w:jc w:val="center"/>
              <w:rPr>
                <w:rFonts w:hint="default" w:eastAsia="宋体"/>
                <w:b/>
                <w:lang w:val="en-US" w:eastAsia="zh-CN"/>
              </w:rPr>
            </w:pPr>
            <w:r>
              <w:rPr>
                <w:rFonts w:hint="eastAsia"/>
                <w:b/>
                <w:lang w:val="en-US" w:eastAsia="zh-CN"/>
              </w:rPr>
              <w:t>29</w:t>
            </w:r>
          </w:p>
        </w:tc>
        <w:tc>
          <w:tcPr>
            <w:tcW w:w="1396" w:type="dxa"/>
            <w:tcBorders>
              <w:top w:val="nil"/>
              <w:left w:val="single" w:color="auto" w:sz="4" w:space="0"/>
              <w:bottom w:val="nil"/>
              <w:right w:val="nil"/>
            </w:tcBorders>
            <w:vAlign w:val="center"/>
          </w:tcPr>
          <w:p>
            <w:pPr>
              <w:spacing w:line="240" w:lineRule="exact"/>
              <w:jc w:val="center"/>
              <w:rPr>
                <w:rFonts w:hint="default" w:eastAsia="宋体"/>
                <w:b/>
                <w:lang w:val="en-US" w:eastAsia="zh-CN"/>
              </w:rPr>
            </w:pPr>
            <w:r>
              <w:rPr>
                <w:rFonts w:hint="eastAsia"/>
                <w:b/>
                <w:lang w:val="en-US" w:eastAsia="zh-CN"/>
              </w:rPr>
              <w:t>223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综合零售</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4</w:t>
            </w:r>
          </w:p>
        </w:tc>
        <w:tc>
          <w:tcPr>
            <w:tcW w:w="1396"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r>
              <w:rPr>
                <w:rFonts w:hint="eastAsia"/>
                <w:lang w:val="en-US" w:eastAsia="zh-CN"/>
              </w:rPr>
              <w:t>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食品、饮料及烟草制品专门零售</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5</w:t>
            </w: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纺织、服装及日用品专门零售</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文化、体育用品及器材专门零售</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2</w:t>
            </w: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医药及医疗器材专门零售</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汽车、摩托车、零配件和燃料及其他动力</w:t>
            </w:r>
            <w:r>
              <w:rPr>
                <w:rFonts w:ascii="宋体" w:hAnsi="宋体" w:cs="宋体"/>
                <w:kern w:val="0"/>
                <w:szCs w:val="21"/>
              </w:rPr>
              <w:t>销售</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7</w:t>
            </w: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家用电器及电子产品专门零售</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3</w:t>
            </w:r>
          </w:p>
        </w:tc>
        <w:tc>
          <w:tcPr>
            <w:tcW w:w="1396"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五金、家具及室内装饰材料专门零售</w:t>
            </w:r>
          </w:p>
        </w:tc>
        <w:tc>
          <w:tcPr>
            <w:tcW w:w="1912"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3</w:t>
            </w:r>
          </w:p>
        </w:tc>
        <w:tc>
          <w:tcPr>
            <w:tcW w:w="1396"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r>
              <w:rPr>
                <w:rFonts w:hint="eastAsia"/>
                <w:lang w:val="en-US" w:eastAsia="zh-CN"/>
              </w:rPr>
              <w:t>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991" w:type="dxa"/>
            <w:tcBorders>
              <w:top w:val="nil"/>
              <w:left w:val="nil"/>
              <w:bottom w:val="single" w:color="auto" w:sz="12" w:space="0"/>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货摊、无店铺及其他零售业</w:t>
            </w:r>
          </w:p>
        </w:tc>
        <w:tc>
          <w:tcPr>
            <w:tcW w:w="1912" w:type="dxa"/>
            <w:tcBorders>
              <w:top w:val="nil"/>
              <w:left w:val="single" w:color="auto" w:sz="4" w:space="0"/>
              <w:bottom w:val="single" w:color="auto" w:sz="12" w:space="0"/>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5</w:t>
            </w:r>
          </w:p>
        </w:tc>
        <w:tc>
          <w:tcPr>
            <w:tcW w:w="1396" w:type="dxa"/>
            <w:tcBorders>
              <w:top w:val="nil"/>
              <w:left w:val="single" w:color="auto" w:sz="4" w:space="0"/>
              <w:bottom w:val="single" w:color="auto" w:sz="12" w:space="0"/>
              <w:right w:val="nil"/>
            </w:tcBorders>
            <w:vAlign w:val="center"/>
          </w:tcPr>
          <w:p>
            <w:pPr>
              <w:spacing w:line="240" w:lineRule="exact"/>
              <w:jc w:val="center"/>
              <w:rPr>
                <w:rFonts w:hint="default" w:eastAsia="宋体"/>
                <w:lang w:val="en-US" w:eastAsia="zh-CN"/>
              </w:rPr>
            </w:pPr>
            <w:r>
              <w:rPr>
                <w:rFonts w:hint="eastAsia"/>
                <w:lang w:val="en-US" w:eastAsia="zh-CN"/>
              </w:rPr>
              <w:t>19</w:t>
            </w: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jc w:val="both"/>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在批发和零售业企业法人单位中，内资企业占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%，港、澳、台商投资企业占</w:t>
      </w:r>
      <w:r>
        <w:rPr>
          <w:rFonts w:hint="eastAsia" w:ascii="Microsoft YaHei UI" w:hAnsi="Microsoft YaHei UI" w:eastAsia="Microsoft YaHei UI" w:cs="Microsoft YaHei UI"/>
          <w:b w:val="0"/>
          <w:i w:val="0"/>
          <w:caps w:val="0"/>
          <w:color w:val="000000"/>
          <w:spacing w:val="8"/>
          <w:sz w:val="25"/>
          <w:szCs w:val="25"/>
          <w:shd w:val="clear" w:color="080000" w:fill="FFFFFF"/>
          <w:lang w:val="en-US" w:eastAsia="zh-CN"/>
        </w:rPr>
        <w:t>0</w:t>
      </w:r>
      <w:r>
        <w:rPr>
          <w:rFonts w:hint="eastAsia" w:ascii="Microsoft YaHei UI" w:hAnsi="Microsoft YaHei UI" w:eastAsia="Microsoft YaHei UI" w:cs="Microsoft YaHei UI"/>
          <w:b w:val="0"/>
          <w:i w:val="0"/>
          <w:caps w:val="0"/>
          <w:color w:val="333333"/>
          <w:spacing w:val="8"/>
          <w:sz w:val="25"/>
          <w:szCs w:val="25"/>
          <w:shd w:val="clear" w:color="080000" w:fill="FFFFFF"/>
        </w:rPr>
        <w:t>%，外商投资企业占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0</w:t>
      </w:r>
      <w:r>
        <w:rPr>
          <w:rFonts w:hint="eastAsia" w:ascii="Microsoft YaHei UI" w:hAnsi="Microsoft YaHei UI" w:eastAsia="Microsoft YaHei UI" w:cs="Microsoft YaHei UI"/>
          <w:b w:val="0"/>
          <w:i w:val="0"/>
          <w:caps w:val="0"/>
          <w:color w:val="333333"/>
          <w:spacing w:val="8"/>
          <w:sz w:val="25"/>
          <w:szCs w:val="25"/>
          <w:shd w:val="clear" w:color="080000" w:fill="FFFFFF"/>
        </w:rPr>
        <w:t>%。</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r>
        <w:rPr>
          <w:rFonts w:hint="eastAsia" w:ascii="Microsoft YaHei UI" w:hAnsi="Microsoft YaHei UI" w:eastAsia="Microsoft YaHei UI" w:cs="Microsoft YaHei UI"/>
          <w:b w:val="0"/>
          <w:i w:val="0"/>
          <w:caps w:val="0"/>
          <w:color w:val="333333"/>
          <w:spacing w:val="8"/>
          <w:sz w:val="25"/>
          <w:szCs w:val="25"/>
          <w:shd w:val="clear" w:color="080000" w:fill="FFFFFF"/>
        </w:rPr>
        <w:t>在批发和零售业企业法人单位从业人员中，内资企业占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%，港、澳、台商投资企业占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0</w:t>
      </w:r>
      <w:r>
        <w:rPr>
          <w:rFonts w:hint="eastAsia" w:ascii="Microsoft YaHei UI" w:hAnsi="Microsoft YaHei UI" w:eastAsia="Microsoft YaHei UI" w:cs="Microsoft YaHei UI"/>
          <w:b w:val="0"/>
          <w:i w:val="0"/>
          <w:caps w:val="0"/>
          <w:color w:val="333333"/>
          <w:spacing w:val="8"/>
          <w:sz w:val="25"/>
          <w:szCs w:val="25"/>
          <w:shd w:val="clear" w:color="080000" w:fill="FFFFFF"/>
        </w:rPr>
        <w:t>%，外商投资企业占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0</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%（详见表4-2）。</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556"/>
        <w:gridCol w:w="2566"/>
        <w:gridCol w:w="21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240" w:lineRule="exac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4-2</w:t>
            </w:r>
            <w:r>
              <w:rPr>
                <w:rFonts w:hint="eastAsia" w:ascii="宋体" w:hAnsi="宋体" w:cs="宋体"/>
                <w:b/>
                <w:bCs/>
                <w:kern w:val="0"/>
                <w:sz w:val="24"/>
              </w:rPr>
              <w:t>　按登记注册类型分组的批发和零售业企业法人单位和从业人员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563" w:type="dxa"/>
            <w:gridSpan w:val="2"/>
            <w:tcBorders>
              <w:top w:val="nil"/>
              <w:left w:val="nil"/>
              <w:bottom w:val="single" w:color="auto" w:sz="4" w:space="0"/>
              <w:right w:val="single" w:color="auto" w:sz="4" w:space="0"/>
            </w:tcBorders>
            <w:vAlign w:val="center"/>
          </w:tcPr>
          <w:p>
            <w:pPr>
              <w:widowControl/>
              <w:spacing w:line="240" w:lineRule="exact"/>
              <w:ind w:left="57" w:right="57" w:firstLine="500"/>
              <w:jc w:val="center"/>
              <w:rPr>
                <w:rFonts w:ascii="宋体" w:hAnsi="宋体" w:cs="宋体"/>
                <w:b/>
                <w:kern w:val="0"/>
                <w:sz w:val="18"/>
                <w:szCs w:val="18"/>
              </w:rPr>
            </w:pPr>
            <w:r>
              <w:rPr>
                <w:rFonts w:hint="eastAsia" w:ascii="宋体" w:hAnsi="宋体" w:cs="宋体"/>
                <w:b/>
                <w:kern w:val="0"/>
                <w:szCs w:val="21"/>
              </w:rPr>
              <w:t>　</w:t>
            </w:r>
          </w:p>
        </w:tc>
        <w:tc>
          <w:tcPr>
            <w:tcW w:w="2566" w:type="dxa"/>
            <w:tcBorders>
              <w:top w:val="nil"/>
              <w:left w:val="single" w:color="auto" w:sz="4" w:space="0"/>
              <w:bottom w:val="single" w:color="auto" w:sz="4" w:space="0"/>
              <w:right w:val="single" w:color="auto" w:sz="4" w:space="0"/>
            </w:tcBorders>
            <w:vAlign w:val="center"/>
          </w:tcPr>
          <w:p>
            <w:pPr>
              <w:widowControl/>
              <w:spacing w:line="240" w:lineRule="exact"/>
              <w:ind w:left="57" w:right="57"/>
              <w:jc w:val="center"/>
              <w:rPr>
                <w:rFonts w:ascii="宋体" w:hAnsi="宋体" w:cs="宋体"/>
                <w:b/>
                <w:kern w:val="0"/>
                <w:sz w:val="18"/>
                <w:szCs w:val="18"/>
              </w:rPr>
            </w:pPr>
            <w:r>
              <w:rPr>
                <w:rFonts w:hint="eastAsia" w:ascii="宋体" w:hAnsi="宋体" w:cs="宋体"/>
                <w:b/>
                <w:kern w:val="0"/>
                <w:szCs w:val="21"/>
              </w:rPr>
              <w:t>企业法人单位</w:t>
            </w:r>
          </w:p>
          <w:p>
            <w:pPr>
              <w:widowControl/>
              <w:spacing w:line="240" w:lineRule="exact"/>
              <w:ind w:left="57" w:right="57"/>
              <w:jc w:val="center"/>
              <w:rPr>
                <w:rFonts w:ascii="宋体" w:hAnsi="宋体" w:cs="宋体"/>
                <w:b/>
                <w:kern w:val="0"/>
                <w:sz w:val="18"/>
                <w:szCs w:val="18"/>
              </w:rPr>
            </w:pPr>
            <w:r>
              <w:rPr>
                <w:rFonts w:hint="eastAsia" w:ascii="宋体" w:hAnsi="宋体" w:cs="宋体"/>
                <w:b/>
                <w:kern w:val="0"/>
                <w:szCs w:val="21"/>
              </w:rPr>
              <w:t>（个）</w:t>
            </w:r>
          </w:p>
        </w:tc>
        <w:tc>
          <w:tcPr>
            <w:tcW w:w="2177" w:type="dxa"/>
            <w:tcBorders>
              <w:top w:val="nil"/>
              <w:left w:val="single" w:color="auto" w:sz="4" w:space="0"/>
              <w:bottom w:val="single" w:color="auto" w:sz="4" w:space="0"/>
              <w:right w:val="nil"/>
            </w:tcBorders>
            <w:vAlign w:val="center"/>
          </w:tcPr>
          <w:p>
            <w:pPr>
              <w:widowControl/>
              <w:spacing w:line="240" w:lineRule="exact"/>
              <w:ind w:left="57" w:right="57"/>
              <w:jc w:val="center"/>
              <w:rPr>
                <w:rFonts w:ascii="宋体" w:hAnsi="宋体" w:cs="宋体"/>
                <w:b/>
                <w:kern w:val="0"/>
                <w:sz w:val="18"/>
                <w:szCs w:val="18"/>
              </w:rPr>
            </w:pPr>
            <w:r>
              <w:rPr>
                <w:rFonts w:hint="eastAsia" w:ascii="宋体" w:hAnsi="宋体" w:cs="宋体"/>
                <w:b/>
                <w:kern w:val="0"/>
                <w:szCs w:val="21"/>
              </w:rPr>
              <w:t>从业人员</w:t>
            </w:r>
          </w:p>
          <w:p>
            <w:pPr>
              <w:widowControl/>
              <w:spacing w:line="240" w:lineRule="exact"/>
              <w:ind w:left="57" w:right="57"/>
              <w:jc w:val="center"/>
              <w:rPr>
                <w:rFonts w:ascii="宋体" w:hAnsi="宋体" w:cs="宋体"/>
                <w:b/>
                <w:kern w:val="0"/>
                <w:sz w:val="18"/>
                <w:szCs w:val="18"/>
              </w:rPr>
            </w:pPr>
            <w:r>
              <w:rPr>
                <w:rFonts w:hint="eastAsia" w:ascii="宋体" w:hAnsi="宋体" w:cs="宋体"/>
                <w:b/>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single" w:color="auto" w:sz="4" w:space="0"/>
              <w:left w:val="nil"/>
              <w:bottom w:val="nil"/>
              <w:right w:val="single" w:color="auto" w:sz="4" w:space="0"/>
            </w:tcBorders>
            <w:vAlign w:val="center"/>
          </w:tcPr>
          <w:p>
            <w:pPr>
              <w:widowControl/>
              <w:spacing w:line="240" w:lineRule="exact"/>
              <w:ind w:left="57" w:right="57"/>
              <w:jc w:val="center"/>
              <w:rPr>
                <w:rFonts w:ascii="宋体" w:hAnsi="宋体" w:cs="宋体"/>
                <w:kern w:val="0"/>
                <w:sz w:val="18"/>
                <w:szCs w:val="18"/>
              </w:rPr>
            </w:pPr>
            <w:r>
              <w:rPr>
                <w:rFonts w:hint="eastAsia" w:ascii="宋体" w:hAnsi="宋体" w:cs="宋体"/>
                <w:b/>
                <w:bCs/>
                <w:kern w:val="0"/>
                <w:szCs w:val="21"/>
              </w:rPr>
              <w:t>合　计</w:t>
            </w:r>
          </w:p>
        </w:tc>
        <w:tc>
          <w:tcPr>
            <w:tcW w:w="2566" w:type="dxa"/>
            <w:tcBorders>
              <w:top w:val="single" w:color="auto" w:sz="4" w:space="0"/>
              <w:left w:val="single" w:color="auto" w:sz="4" w:space="0"/>
              <w:bottom w:val="nil"/>
              <w:right w:val="single" w:color="auto" w:sz="4" w:space="0"/>
            </w:tcBorders>
            <w:vAlign w:val="center"/>
          </w:tcPr>
          <w:p>
            <w:pPr>
              <w:spacing w:line="240" w:lineRule="exact"/>
              <w:jc w:val="center"/>
              <w:rPr>
                <w:rFonts w:hint="default" w:eastAsia="宋体"/>
                <w:b/>
                <w:lang w:val="en-US" w:eastAsia="zh-CN"/>
              </w:rPr>
            </w:pPr>
            <w:r>
              <w:rPr>
                <w:rFonts w:hint="eastAsia"/>
                <w:b/>
                <w:lang w:val="en-US" w:eastAsia="zh-CN"/>
              </w:rPr>
              <w:t>64</w:t>
            </w:r>
          </w:p>
        </w:tc>
        <w:tc>
          <w:tcPr>
            <w:tcW w:w="2177" w:type="dxa"/>
            <w:tcBorders>
              <w:top w:val="single" w:color="auto" w:sz="4" w:space="0"/>
              <w:left w:val="single" w:color="auto" w:sz="4" w:space="0"/>
              <w:bottom w:val="nil"/>
              <w:right w:val="nil"/>
            </w:tcBorders>
            <w:vAlign w:val="center"/>
          </w:tcPr>
          <w:p>
            <w:pPr>
              <w:spacing w:line="240" w:lineRule="exact"/>
              <w:jc w:val="center"/>
              <w:rPr>
                <w:rFonts w:hint="default" w:eastAsia="宋体"/>
                <w:b/>
                <w:lang w:val="en-US" w:eastAsia="zh-CN"/>
              </w:rPr>
            </w:pPr>
            <w:r>
              <w:rPr>
                <w:rFonts w:hint="eastAsia"/>
                <w:b/>
                <w:lang w:val="en-US" w:eastAsia="zh-CN"/>
              </w:rPr>
              <w:t>781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b/>
                <w:kern w:val="0"/>
                <w:sz w:val="18"/>
                <w:szCs w:val="18"/>
              </w:rPr>
            </w:pPr>
            <w:r>
              <w:rPr>
                <w:rFonts w:hint="eastAsia" w:ascii="宋体" w:hAnsi="宋体" w:cs="宋体"/>
                <w:b/>
                <w:kern w:val="0"/>
                <w:szCs w:val="21"/>
              </w:rPr>
              <w:t>内资企业</w:t>
            </w:r>
          </w:p>
        </w:tc>
        <w:tc>
          <w:tcPr>
            <w:tcW w:w="2566" w:type="dxa"/>
            <w:tcBorders>
              <w:top w:val="nil"/>
              <w:left w:val="single" w:color="auto" w:sz="4" w:space="0"/>
              <w:bottom w:val="nil"/>
              <w:right w:val="single" w:color="auto" w:sz="4" w:space="0"/>
            </w:tcBorders>
            <w:vAlign w:val="center"/>
          </w:tcPr>
          <w:p>
            <w:pPr>
              <w:spacing w:line="240" w:lineRule="exact"/>
              <w:jc w:val="center"/>
              <w:rPr>
                <w:rFonts w:hint="eastAsia" w:eastAsia="宋体"/>
                <w:b/>
                <w:lang w:val="en-US" w:eastAsia="zh-CN"/>
              </w:rPr>
            </w:pPr>
            <w:r>
              <w:rPr>
                <w:rFonts w:hint="eastAsia"/>
                <w:b/>
                <w:lang w:val="en-US" w:eastAsia="zh-CN"/>
              </w:rPr>
              <w:t>64</w:t>
            </w:r>
          </w:p>
        </w:tc>
        <w:tc>
          <w:tcPr>
            <w:tcW w:w="2177" w:type="dxa"/>
            <w:tcBorders>
              <w:top w:val="nil"/>
              <w:left w:val="single" w:color="auto" w:sz="4" w:space="0"/>
              <w:bottom w:val="nil"/>
              <w:right w:val="nil"/>
            </w:tcBorders>
            <w:vAlign w:val="center"/>
          </w:tcPr>
          <w:p>
            <w:pPr>
              <w:spacing w:line="240" w:lineRule="exact"/>
              <w:jc w:val="center"/>
              <w:rPr>
                <w:rFonts w:hint="default" w:eastAsia="宋体"/>
                <w:b/>
                <w:lang w:val="en-US" w:eastAsia="zh-CN"/>
              </w:rPr>
            </w:pPr>
            <w:r>
              <w:rPr>
                <w:rFonts w:hint="eastAsia"/>
                <w:b/>
                <w:lang w:val="en-US" w:eastAsia="zh-CN"/>
              </w:rPr>
              <w:t>781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国有企业</w:t>
            </w:r>
          </w:p>
        </w:tc>
        <w:tc>
          <w:tcPr>
            <w:tcW w:w="2566"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p>
        </w:tc>
        <w:tc>
          <w:tcPr>
            <w:tcW w:w="2177"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集体企业</w:t>
            </w:r>
          </w:p>
        </w:tc>
        <w:tc>
          <w:tcPr>
            <w:tcW w:w="2566"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p>
        </w:tc>
        <w:tc>
          <w:tcPr>
            <w:tcW w:w="2177"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股份合作企业</w:t>
            </w:r>
          </w:p>
        </w:tc>
        <w:tc>
          <w:tcPr>
            <w:tcW w:w="2566"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p>
        </w:tc>
        <w:tc>
          <w:tcPr>
            <w:tcW w:w="2177"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联营企业</w:t>
            </w:r>
          </w:p>
        </w:tc>
        <w:tc>
          <w:tcPr>
            <w:tcW w:w="2566"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p>
        </w:tc>
        <w:tc>
          <w:tcPr>
            <w:tcW w:w="2177"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有限责任公司</w:t>
            </w:r>
          </w:p>
        </w:tc>
        <w:tc>
          <w:tcPr>
            <w:tcW w:w="2566"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2</w:t>
            </w:r>
          </w:p>
        </w:tc>
        <w:tc>
          <w:tcPr>
            <w:tcW w:w="2177"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r>
              <w:rPr>
                <w:rFonts w:hint="eastAsia"/>
                <w:lang w:val="en-US" w:eastAsia="zh-CN"/>
              </w:rPr>
              <w:t>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股份有限公司</w:t>
            </w:r>
          </w:p>
        </w:tc>
        <w:tc>
          <w:tcPr>
            <w:tcW w:w="2566"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2</w:t>
            </w:r>
          </w:p>
        </w:tc>
        <w:tc>
          <w:tcPr>
            <w:tcW w:w="2177"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r>
              <w:rPr>
                <w:rFonts w:hint="eastAsia"/>
                <w:lang w:val="en-US" w:eastAsia="zh-CN"/>
              </w:rPr>
              <w:t>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私营企业</w:t>
            </w:r>
          </w:p>
        </w:tc>
        <w:tc>
          <w:tcPr>
            <w:tcW w:w="2566" w:type="dxa"/>
            <w:tcBorders>
              <w:top w:val="nil"/>
              <w:left w:val="single" w:color="auto" w:sz="4" w:space="0"/>
              <w:bottom w:val="nil"/>
              <w:right w:val="single" w:color="auto" w:sz="4" w:space="0"/>
            </w:tcBorders>
            <w:vAlign w:val="center"/>
          </w:tcPr>
          <w:p>
            <w:pPr>
              <w:spacing w:line="240" w:lineRule="exact"/>
              <w:jc w:val="center"/>
              <w:rPr>
                <w:rFonts w:hint="default" w:eastAsia="宋体"/>
                <w:lang w:val="en-US" w:eastAsia="zh-CN"/>
              </w:rPr>
            </w:pPr>
            <w:r>
              <w:rPr>
                <w:rFonts w:hint="eastAsia"/>
                <w:lang w:val="en-US" w:eastAsia="zh-CN"/>
              </w:rPr>
              <w:t>52</w:t>
            </w:r>
          </w:p>
        </w:tc>
        <w:tc>
          <w:tcPr>
            <w:tcW w:w="2177" w:type="dxa"/>
            <w:tcBorders>
              <w:top w:val="nil"/>
              <w:left w:val="single" w:color="auto" w:sz="4" w:space="0"/>
              <w:bottom w:val="nil"/>
              <w:right w:val="nil"/>
            </w:tcBorders>
            <w:vAlign w:val="center"/>
          </w:tcPr>
          <w:p>
            <w:pPr>
              <w:spacing w:line="240" w:lineRule="exact"/>
              <w:jc w:val="center"/>
              <w:rPr>
                <w:rFonts w:hint="default" w:eastAsia="宋体"/>
                <w:lang w:val="en-US" w:eastAsia="zh-CN"/>
              </w:rPr>
            </w:pPr>
            <w:r>
              <w:rPr>
                <w:rFonts w:hint="eastAsia"/>
                <w:lang w:val="en-US" w:eastAsia="zh-CN"/>
              </w:rPr>
              <w:t>662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kern w:val="0"/>
                <w:sz w:val="18"/>
                <w:szCs w:val="18"/>
              </w:rPr>
            </w:pPr>
            <w:r>
              <w:rPr>
                <w:rFonts w:hint="eastAsia" w:ascii="宋体" w:hAnsi="宋体" w:cs="宋体"/>
                <w:kern w:val="0"/>
                <w:szCs w:val="21"/>
              </w:rPr>
              <w:t>　其他企业</w:t>
            </w:r>
          </w:p>
        </w:tc>
        <w:tc>
          <w:tcPr>
            <w:tcW w:w="2566" w:type="dxa"/>
            <w:tcBorders>
              <w:top w:val="nil"/>
              <w:left w:val="single" w:color="auto" w:sz="4" w:space="0"/>
              <w:bottom w:val="nil"/>
              <w:right w:val="single" w:color="auto" w:sz="4" w:space="0"/>
            </w:tcBorders>
            <w:vAlign w:val="center"/>
          </w:tcPr>
          <w:p>
            <w:pPr>
              <w:spacing w:line="240" w:lineRule="exact"/>
              <w:jc w:val="center"/>
              <w:rPr>
                <w:rFonts w:hint="eastAsia" w:eastAsia="宋体"/>
                <w:lang w:val="en-US" w:eastAsia="zh-CN"/>
              </w:rPr>
            </w:pPr>
            <w:r>
              <w:rPr>
                <w:rFonts w:hint="eastAsia"/>
                <w:lang w:val="en-US" w:eastAsia="zh-CN"/>
              </w:rPr>
              <w:t>8</w:t>
            </w:r>
          </w:p>
        </w:tc>
        <w:tc>
          <w:tcPr>
            <w:tcW w:w="2177" w:type="dxa"/>
            <w:tcBorders>
              <w:top w:val="nil"/>
              <w:left w:val="single" w:color="auto" w:sz="4" w:space="0"/>
              <w:bottom w:val="nil"/>
              <w:right w:val="nil"/>
            </w:tcBorders>
            <w:vAlign w:val="center"/>
          </w:tcPr>
          <w:p>
            <w:pPr>
              <w:spacing w:line="240" w:lineRule="exact"/>
              <w:jc w:val="center"/>
              <w:rPr>
                <w:rFonts w:hint="eastAsia" w:eastAsia="宋体"/>
                <w:lang w:val="en-US" w:eastAsia="zh-CN"/>
              </w:rPr>
            </w:pPr>
            <w:r>
              <w:rPr>
                <w:rFonts w:hint="eastAsia"/>
                <w:lang w:val="en-US" w:eastAsia="zh-CN"/>
              </w:rPr>
              <w:t>34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nil"/>
              <w:right w:val="single" w:color="auto" w:sz="4" w:space="0"/>
            </w:tcBorders>
            <w:vAlign w:val="center"/>
          </w:tcPr>
          <w:p>
            <w:pPr>
              <w:widowControl/>
              <w:spacing w:line="240" w:lineRule="exact"/>
              <w:ind w:left="57" w:right="57"/>
              <w:rPr>
                <w:rFonts w:ascii="宋体" w:hAnsi="宋体" w:cs="宋体"/>
                <w:b/>
                <w:kern w:val="0"/>
                <w:sz w:val="18"/>
                <w:szCs w:val="18"/>
              </w:rPr>
            </w:pPr>
            <w:r>
              <w:rPr>
                <w:rFonts w:hint="eastAsia" w:ascii="宋体" w:hAnsi="宋体" w:cs="宋体"/>
                <w:b/>
                <w:kern w:val="0"/>
                <w:szCs w:val="21"/>
              </w:rPr>
              <w:t>港、澳、台商投资企业</w:t>
            </w:r>
          </w:p>
        </w:tc>
        <w:tc>
          <w:tcPr>
            <w:tcW w:w="2566" w:type="dxa"/>
            <w:tcBorders>
              <w:top w:val="nil"/>
              <w:left w:val="single" w:color="auto" w:sz="4" w:space="0"/>
              <w:bottom w:val="nil"/>
              <w:right w:val="single" w:color="auto" w:sz="4" w:space="0"/>
            </w:tcBorders>
            <w:vAlign w:val="center"/>
          </w:tcPr>
          <w:p>
            <w:pPr>
              <w:spacing w:line="240" w:lineRule="exact"/>
              <w:jc w:val="center"/>
              <w:rPr>
                <w:rFonts w:hint="eastAsia" w:eastAsia="宋体"/>
                <w:b/>
                <w:lang w:val="en-US" w:eastAsia="zh-CN"/>
              </w:rPr>
            </w:pPr>
          </w:p>
        </w:tc>
        <w:tc>
          <w:tcPr>
            <w:tcW w:w="2177" w:type="dxa"/>
            <w:tcBorders>
              <w:top w:val="nil"/>
              <w:left w:val="single" w:color="auto" w:sz="4" w:space="0"/>
              <w:bottom w:val="nil"/>
              <w:right w:val="nil"/>
            </w:tcBorders>
            <w:vAlign w:val="center"/>
          </w:tcPr>
          <w:p>
            <w:pPr>
              <w:spacing w:line="240" w:lineRule="exact"/>
              <w:jc w:val="center"/>
              <w:rPr>
                <w:rFonts w:hint="eastAsia" w:eastAsia="宋体"/>
                <w:b/>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56" w:type="dxa"/>
            <w:tcBorders>
              <w:top w:val="nil"/>
              <w:left w:val="nil"/>
              <w:bottom w:val="single" w:color="auto" w:sz="12" w:space="0"/>
              <w:right w:val="single" w:color="auto" w:sz="4" w:space="0"/>
            </w:tcBorders>
            <w:vAlign w:val="center"/>
          </w:tcPr>
          <w:p>
            <w:pPr>
              <w:widowControl/>
              <w:spacing w:line="240" w:lineRule="exact"/>
              <w:ind w:left="57" w:right="57"/>
              <w:rPr>
                <w:rFonts w:ascii="宋体" w:hAnsi="宋体" w:cs="宋体"/>
                <w:b/>
                <w:kern w:val="0"/>
                <w:sz w:val="18"/>
                <w:szCs w:val="18"/>
              </w:rPr>
            </w:pPr>
            <w:r>
              <w:rPr>
                <w:rFonts w:hint="eastAsia" w:ascii="宋体" w:hAnsi="宋体" w:cs="宋体"/>
                <w:b/>
                <w:kern w:val="0"/>
                <w:szCs w:val="21"/>
              </w:rPr>
              <w:t>外商投资企业</w:t>
            </w:r>
          </w:p>
        </w:tc>
        <w:tc>
          <w:tcPr>
            <w:tcW w:w="2566" w:type="dxa"/>
            <w:tcBorders>
              <w:top w:val="nil"/>
              <w:left w:val="single" w:color="auto" w:sz="4" w:space="0"/>
              <w:bottom w:val="single" w:color="auto" w:sz="12" w:space="0"/>
              <w:right w:val="single" w:color="auto" w:sz="4" w:space="0"/>
            </w:tcBorders>
            <w:vAlign w:val="center"/>
          </w:tcPr>
          <w:p>
            <w:pPr>
              <w:spacing w:line="240" w:lineRule="exact"/>
              <w:jc w:val="center"/>
              <w:rPr>
                <w:rFonts w:hint="eastAsia" w:eastAsia="宋体"/>
                <w:b/>
                <w:lang w:val="en-US" w:eastAsia="zh-CN"/>
              </w:rPr>
            </w:pPr>
          </w:p>
        </w:tc>
        <w:tc>
          <w:tcPr>
            <w:tcW w:w="2177" w:type="dxa"/>
            <w:tcBorders>
              <w:top w:val="nil"/>
              <w:left w:val="single" w:color="auto" w:sz="4" w:space="0"/>
              <w:bottom w:val="single" w:color="auto" w:sz="12" w:space="0"/>
              <w:right w:val="nil"/>
            </w:tcBorders>
            <w:vAlign w:val="center"/>
          </w:tcPr>
          <w:p>
            <w:pPr>
              <w:spacing w:line="240" w:lineRule="exact"/>
              <w:jc w:val="center"/>
              <w:rPr>
                <w:rFonts w:hint="eastAsia" w:eastAsia="宋体"/>
                <w:b/>
                <w:lang w:val="en-US" w:eastAsia="zh-CN"/>
              </w:rPr>
            </w:pP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jc w:val="both"/>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（二）主要经济指标。</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2018年末，批发和零售业企业法人单位资产总计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40175</w:t>
      </w:r>
      <w:r>
        <w:rPr>
          <w:rFonts w:hint="eastAsia" w:ascii="Microsoft YaHei UI" w:hAnsi="Microsoft YaHei UI" w:eastAsia="Microsoft YaHei UI" w:cs="Microsoft YaHei UI"/>
          <w:b w:val="0"/>
          <w:i w:val="0"/>
          <w:caps w:val="0"/>
          <w:color w:val="000000"/>
          <w:spacing w:val="8"/>
          <w:sz w:val="25"/>
          <w:szCs w:val="25"/>
          <w:shd w:val="clear" w:color="080000" w:fill="FFFFFF"/>
          <w:lang w:val="en-US" w:eastAsia="zh-CN"/>
        </w:rPr>
        <w:t>万</w:t>
      </w:r>
      <w:r>
        <w:rPr>
          <w:rFonts w:hint="eastAsia" w:ascii="Microsoft YaHei UI" w:hAnsi="Microsoft YaHei UI" w:eastAsia="Microsoft YaHei UI" w:cs="Microsoft YaHei UI"/>
          <w:b w:val="0"/>
          <w:i w:val="0"/>
          <w:caps w:val="0"/>
          <w:color w:val="333333"/>
          <w:spacing w:val="8"/>
          <w:sz w:val="25"/>
          <w:szCs w:val="25"/>
          <w:shd w:val="clear" w:color="080000" w:fill="FFFFFF"/>
        </w:rPr>
        <w:t>元，比2013年末增长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211.63</w:t>
      </w:r>
      <w:r>
        <w:rPr>
          <w:rFonts w:hint="eastAsia" w:ascii="Microsoft YaHei UI" w:hAnsi="Microsoft YaHei UI" w:eastAsia="Microsoft YaHei UI" w:cs="Microsoft YaHei UI"/>
          <w:b w:val="0"/>
          <w:i w:val="0"/>
          <w:caps w:val="0"/>
          <w:color w:val="333333"/>
          <w:spacing w:val="8"/>
          <w:sz w:val="25"/>
          <w:szCs w:val="25"/>
          <w:shd w:val="clear" w:color="080000" w:fill="FFFFFF"/>
        </w:rPr>
        <w:t>%。其中，批发业企业法人单位资产总计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33167.7</w:t>
      </w:r>
      <w:r>
        <w:rPr>
          <w:rFonts w:hint="eastAsia" w:ascii="Microsoft YaHei UI" w:hAnsi="Microsoft YaHei UI" w:eastAsia="Microsoft YaHei UI" w:cs="Microsoft YaHei UI"/>
          <w:b w:val="0"/>
          <w:i w:val="0"/>
          <w:caps w:val="0"/>
          <w:color w:val="000000"/>
          <w:spacing w:val="8"/>
          <w:sz w:val="25"/>
          <w:szCs w:val="25"/>
          <w:shd w:val="clear" w:color="080000" w:fill="FFFFFF"/>
          <w:lang w:val="en-US" w:eastAsia="zh-CN"/>
        </w:rPr>
        <w:t>万</w:t>
      </w:r>
      <w:r>
        <w:rPr>
          <w:rFonts w:hint="eastAsia" w:ascii="Microsoft YaHei UI" w:hAnsi="Microsoft YaHei UI" w:eastAsia="Microsoft YaHei UI" w:cs="Microsoft YaHei UI"/>
          <w:b w:val="0"/>
          <w:i w:val="0"/>
          <w:caps w:val="0"/>
          <w:color w:val="333333"/>
          <w:spacing w:val="8"/>
          <w:sz w:val="25"/>
          <w:szCs w:val="25"/>
          <w:shd w:val="clear" w:color="080000" w:fill="FFFFFF"/>
        </w:rPr>
        <w:t>元，零售业企业法人单位资产总计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7007.3</w:t>
      </w:r>
      <w:r>
        <w:rPr>
          <w:rFonts w:hint="eastAsia" w:ascii="Microsoft YaHei UI" w:hAnsi="Microsoft YaHei UI" w:eastAsia="Microsoft YaHei UI" w:cs="Microsoft YaHei UI"/>
          <w:b w:val="0"/>
          <w:i w:val="0"/>
          <w:caps w:val="0"/>
          <w:color w:val="000000"/>
          <w:spacing w:val="8"/>
          <w:sz w:val="25"/>
          <w:szCs w:val="25"/>
          <w:shd w:val="clear" w:color="080000" w:fill="FFFFFF"/>
          <w:lang w:val="en-US" w:eastAsia="zh-CN"/>
        </w:rPr>
        <w:t>万</w:t>
      </w:r>
      <w:r>
        <w:rPr>
          <w:rFonts w:hint="eastAsia" w:ascii="Microsoft YaHei UI" w:hAnsi="Microsoft YaHei UI" w:eastAsia="Microsoft YaHei UI" w:cs="Microsoft YaHei UI"/>
          <w:b w:val="0"/>
          <w:i w:val="0"/>
          <w:caps w:val="0"/>
          <w:color w:val="333333"/>
          <w:spacing w:val="8"/>
          <w:sz w:val="25"/>
          <w:szCs w:val="25"/>
          <w:shd w:val="clear" w:color="080000" w:fill="FFFFFF"/>
        </w:rPr>
        <w:t>元，分别比2013年末增</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304.88</w:t>
      </w:r>
      <w:r>
        <w:rPr>
          <w:rFonts w:hint="eastAsia" w:ascii="Microsoft YaHei UI" w:hAnsi="Microsoft YaHei UI" w:eastAsia="Microsoft YaHei UI" w:cs="Microsoft YaHei UI"/>
          <w:b w:val="0"/>
          <w:i w:val="0"/>
          <w:caps w:val="0"/>
          <w:color w:val="333333"/>
          <w:spacing w:val="8"/>
          <w:sz w:val="25"/>
          <w:szCs w:val="25"/>
          <w:shd w:val="clear" w:color="080000" w:fill="FFFFFF"/>
        </w:rPr>
        <w:t>%和</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48.94</w:t>
      </w:r>
      <w:r>
        <w:rPr>
          <w:rFonts w:hint="eastAsia" w:ascii="Microsoft YaHei UI" w:hAnsi="Microsoft YaHei UI" w:eastAsia="Microsoft YaHei UI" w:cs="Microsoft YaHei UI"/>
          <w:b w:val="0"/>
          <w:i w:val="0"/>
          <w:caps w:val="0"/>
          <w:color w:val="333333"/>
          <w:spacing w:val="8"/>
          <w:sz w:val="25"/>
          <w:szCs w:val="25"/>
          <w:shd w:val="clear" w:color="080000" w:fill="FFFFFF"/>
        </w:rPr>
        <w:t>%。负债合计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22417.4</w:t>
      </w:r>
      <w:r>
        <w:rPr>
          <w:rFonts w:hint="eastAsia" w:ascii="Microsoft YaHei UI" w:hAnsi="Microsoft YaHei UI" w:eastAsia="Microsoft YaHei UI" w:cs="Microsoft YaHei UI"/>
          <w:b w:val="0"/>
          <w:i w:val="0"/>
          <w:caps w:val="0"/>
          <w:color w:val="000000"/>
          <w:spacing w:val="8"/>
          <w:sz w:val="25"/>
          <w:szCs w:val="25"/>
          <w:shd w:val="clear" w:color="080000" w:fill="FFFFFF"/>
          <w:lang w:val="en-US" w:eastAsia="zh-CN"/>
        </w:rPr>
        <w:t>万</w:t>
      </w:r>
      <w:r>
        <w:rPr>
          <w:rFonts w:hint="eastAsia" w:ascii="Microsoft YaHei UI" w:hAnsi="Microsoft YaHei UI" w:eastAsia="Microsoft YaHei UI" w:cs="Microsoft YaHei UI"/>
          <w:b w:val="0"/>
          <w:i w:val="0"/>
          <w:caps w:val="0"/>
          <w:color w:val="333333"/>
          <w:spacing w:val="8"/>
          <w:sz w:val="25"/>
          <w:szCs w:val="25"/>
          <w:shd w:val="clear" w:color="080000" w:fill="FFFFFF"/>
        </w:rPr>
        <w:t>元。全年实现营业收入</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58635.1</w:t>
      </w:r>
      <w:r>
        <w:rPr>
          <w:rFonts w:hint="eastAsia" w:ascii="Microsoft YaHei UI" w:hAnsi="Microsoft YaHei UI" w:eastAsia="Microsoft YaHei UI" w:cs="Microsoft YaHei UI"/>
          <w:b w:val="0"/>
          <w:i w:val="0"/>
          <w:caps w:val="0"/>
          <w:color w:val="000000"/>
          <w:spacing w:val="8"/>
          <w:sz w:val="25"/>
          <w:szCs w:val="25"/>
          <w:shd w:val="clear" w:color="080000" w:fill="FFFFFF"/>
          <w:lang w:val="en-US" w:eastAsia="zh-CN"/>
        </w:rPr>
        <w:t>万</w:t>
      </w:r>
      <w:r>
        <w:rPr>
          <w:rFonts w:hint="eastAsia" w:ascii="Microsoft YaHei UI" w:hAnsi="Microsoft YaHei UI" w:eastAsia="Microsoft YaHei UI" w:cs="Microsoft YaHei UI"/>
          <w:b w:val="0"/>
          <w:i w:val="0"/>
          <w:caps w:val="0"/>
          <w:color w:val="333333"/>
          <w:spacing w:val="8"/>
          <w:sz w:val="25"/>
          <w:szCs w:val="25"/>
          <w:shd w:val="clear" w:color="080000" w:fill="FFFFFF"/>
        </w:rPr>
        <w:t>元（详见表4-3）。</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tbl>
      <w:tblPr>
        <w:tblStyle w:val="7"/>
        <w:tblW w:w="878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4523"/>
        <w:gridCol w:w="7"/>
        <w:gridCol w:w="1409"/>
        <w:gridCol w:w="7"/>
        <w:gridCol w:w="1409"/>
        <w:gridCol w:w="7"/>
        <w:gridCol w:w="1410"/>
        <w:gridCol w:w="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 w:type="dxa"/>
          <w:trHeight w:val="504" w:hRule="atLeast"/>
          <w:jc w:val="center"/>
        </w:trPr>
        <w:tc>
          <w:tcPr>
            <w:tcW w:w="8779" w:type="dxa"/>
            <w:gridSpan w:val="8"/>
            <w:tcBorders>
              <w:top w:val="nil"/>
              <w:left w:val="nil"/>
              <w:bottom w:val="single" w:color="auto" w:sz="12" w:space="0"/>
              <w:right w:val="nil"/>
            </w:tcBorders>
            <w:shd w:val="clear" w:color="auto" w:fill="FFFFFF"/>
            <w:vAlign w:val="center"/>
          </w:tcPr>
          <w:p>
            <w:pPr>
              <w:widowControl/>
              <w:spacing w:line="320" w:lineRule="atLeast"/>
              <w:ind w:right="57"/>
              <w:jc w:val="center"/>
              <w:rPr>
                <w:rFonts w:ascii="宋体" w:hAnsi="宋体" w:cs="宋体"/>
                <w:kern w:val="0"/>
                <w:sz w:val="24"/>
              </w:rPr>
            </w:pPr>
            <w:r>
              <w:rPr>
                <w:rFonts w:hint="eastAsia" w:ascii="宋体" w:hAnsi="宋体" w:cs="宋体"/>
                <w:b/>
                <w:bCs/>
                <w:kern w:val="0"/>
                <w:sz w:val="24"/>
              </w:rPr>
              <w:t>表</w:t>
            </w:r>
            <w:r>
              <w:rPr>
                <w:b/>
                <w:bCs/>
                <w:kern w:val="0"/>
                <w:sz w:val="24"/>
              </w:rPr>
              <w:t>4-3</w:t>
            </w:r>
            <w:r>
              <w:rPr>
                <w:rFonts w:hint="eastAsia" w:ascii="宋体" w:hAnsi="宋体" w:cs="宋体"/>
                <w:b/>
                <w:bCs/>
                <w:kern w:val="0"/>
                <w:sz w:val="24"/>
              </w:rPr>
              <w:t>　按行业中类分组的批发和零售业企业法人单位主要经济</w:t>
            </w:r>
            <w:r>
              <w:rPr>
                <w:rFonts w:ascii="宋体" w:hAnsi="宋体" w:cs="宋体"/>
                <w:b/>
                <w:bCs/>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8" w:type="dxa"/>
          <w:trHeight w:val="567" w:hRule="atLeast"/>
          <w:jc w:val="center"/>
        </w:trPr>
        <w:tc>
          <w:tcPr>
            <w:tcW w:w="4530" w:type="dxa"/>
            <w:gridSpan w:val="2"/>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cs="宋体"/>
                <w:b/>
                <w:kern w:val="0"/>
                <w:sz w:val="18"/>
                <w:szCs w:val="18"/>
              </w:rPr>
            </w:pPr>
            <w:r>
              <w:rPr>
                <w:rFonts w:hint="eastAsia" w:ascii="宋体" w:hAnsi="宋体" w:cs="宋体"/>
                <w:b/>
                <w:kern w:val="0"/>
                <w:szCs w:val="21"/>
              </w:rPr>
              <w:t>　</w:t>
            </w:r>
          </w:p>
        </w:tc>
        <w:tc>
          <w:tcPr>
            <w:tcW w:w="1416"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w:t>
            </w:r>
            <w:r>
              <w:rPr>
                <w:rFonts w:ascii="宋体" w:hAnsi="宋体" w:cs="宋体"/>
                <w:b/>
                <w:kern w:val="0"/>
                <w:szCs w:val="21"/>
              </w:rPr>
              <w:t>总计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416"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color w:val="auto"/>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417"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营业收入</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90" w:hRule="atLeast"/>
          <w:jc w:val="center"/>
        </w:trPr>
        <w:tc>
          <w:tcPr>
            <w:tcW w:w="4530"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416" w:type="dxa"/>
            <w:gridSpan w:val="2"/>
            <w:tcBorders>
              <w:top w:val="single" w:color="auto" w:sz="4" w:space="0"/>
              <w:left w:val="single" w:color="auto" w:sz="4" w:space="0"/>
              <w:bottom w:val="nil"/>
              <w:right w:val="single" w:color="auto" w:sz="4" w:space="0"/>
            </w:tcBorders>
            <w:vAlign w:val="center"/>
          </w:tcPr>
          <w:p>
            <w:pPr>
              <w:jc w:val="center"/>
              <w:rPr>
                <w:rFonts w:hint="default" w:eastAsia="宋体"/>
                <w:b/>
                <w:lang w:val="en-US" w:eastAsia="zh-CN"/>
              </w:rPr>
            </w:pPr>
            <w:r>
              <w:rPr>
                <w:rFonts w:hint="eastAsia"/>
                <w:b/>
                <w:lang w:val="en-US" w:eastAsia="zh-CN"/>
              </w:rPr>
              <w:t>40175</w:t>
            </w:r>
          </w:p>
        </w:tc>
        <w:tc>
          <w:tcPr>
            <w:tcW w:w="1416" w:type="dxa"/>
            <w:gridSpan w:val="2"/>
            <w:tcBorders>
              <w:top w:val="single" w:color="auto" w:sz="4" w:space="0"/>
              <w:left w:val="single" w:color="auto" w:sz="4" w:space="0"/>
              <w:bottom w:val="nil"/>
              <w:right w:val="single" w:color="auto" w:sz="4" w:space="0"/>
            </w:tcBorders>
            <w:vAlign w:val="center"/>
          </w:tcPr>
          <w:p>
            <w:pPr>
              <w:jc w:val="center"/>
              <w:rPr>
                <w:rFonts w:hint="default" w:eastAsia="宋体"/>
                <w:b/>
                <w:lang w:val="en-US" w:eastAsia="zh-CN"/>
              </w:rPr>
            </w:pPr>
            <w:r>
              <w:rPr>
                <w:rFonts w:hint="eastAsia"/>
                <w:b/>
                <w:lang w:val="en-US" w:eastAsia="zh-CN"/>
              </w:rPr>
              <w:t>22417.4</w:t>
            </w:r>
          </w:p>
        </w:tc>
        <w:tc>
          <w:tcPr>
            <w:tcW w:w="1418" w:type="dxa"/>
            <w:gridSpan w:val="2"/>
            <w:tcBorders>
              <w:top w:val="single" w:color="auto" w:sz="4" w:space="0"/>
              <w:left w:val="single" w:color="auto" w:sz="4" w:space="0"/>
              <w:bottom w:val="nil"/>
              <w:right w:val="nil"/>
            </w:tcBorders>
            <w:vAlign w:val="center"/>
          </w:tcPr>
          <w:p>
            <w:pPr>
              <w:tabs>
                <w:tab w:val="left" w:pos="537"/>
              </w:tabs>
              <w:jc w:val="center"/>
              <w:rPr>
                <w:rFonts w:hint="default" w:eastAsia="宋体"/>
                <w:b/>
                <w:lang w:val="en-US" w:eastAsia="zh-CN"/>
              </w:rPr>
            </w:pPr>
            <w:r>
              <w:rPr>
                <w:rFonts w:hint="eastAsia"/>
                <w:b/>
                <w:lang w:val="en-US" w:eastAsia="zh-CN"/>
              </w:rPr>
              <w:t>58635.1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pPr>
              <w:rPr>
                <w:b/>
              </w:rPr>
            </w:pPr>
            <w:r>
              <w:rPr>
                <w:rFonts w:hint="eastAsia"/>
                <w:b/>
              </w:rPr>
              <w:t>批发业</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b/>
                <w:lang w:val="en-US" w:eastAsia="zh-CN"/>
              </w:rPr>
            </w:pPr>
            <w:r>
              <w:rPr>
                <w:rFonts w:hint="eastAsia"/>
                <w:b/>
                <w:lang w:val="en-US" w:eastAsia="zh-CN"/>
              </w:rPr>
              <w:t>33167.7</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b/>
                <w:lang w:val="en-US" w:eastAsia="zh-CN"/>
              </w:rPr>
            </w:pPr>
            <w:r>
              <w:rPr>
                <w:rFonts w:hint="eastAsia"/>
                <w:b/>
                <w:lang w:val="en-US" w:eastAsia="zh-CN"/>
              </w:rPr>
              <w:t>17535.3</w:t>
            </w:r>
          </w:p>
        </w:tc>
        <w:tc>
          <w:tcPr>
            <w:tcW w:w="1418" w:type="dxa"/>
            <w:gridSpan w:val="2"/>
            <w:tcBorders>
              <w:top w:val="nil"/>
              <w:left w:val="single" w:color="auto" w:sz="4" w:space="0"/>
              <w:bottom w:val="nil"/>
              <w:right w:val="nil"/>
            </w:tcBorders>
            <w:vAlign w:val="center"/>
          </w:tcPr>
          <w:p>
            <w:pPr>
              <w:jc w:val="center"/>
              <w:rPr>
                <w:rFonts w:hint="default" w:eastAsia="宋体"/>
                <w:b/>
                <w:lang w:val="en-US" w:eastAsia="zh-CN"/>
              </w:rPr>
            </w:pPr>
            <w:r>
              <w:rPr>
                <w:rFonts w:hint="eastAsia"/>
                <w:b/>
                <w:lang w:val="en-US" w:eastAsia="zh-CN"/>
              </w:rPr>
              <w:t>53287.5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ascii="宋体" w:hAnsi="宋体" w:cs="宋体"/>
                <w:kern w:val="0"/>
                <w:szCs w:val="21"/>
              </w:rPr>
              <w:t>　农、林、牧、渔产品批发</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8552.7</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4390.9</w:t>
            </w: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9114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食品、饮料及烟草制品批发</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647.4</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381.1</w:t>
            </w: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432.5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纺织、服装及家庭用品批发</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w:t>
            </w: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文化、体育用品及器材批发</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8"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医药及医疗器材批发</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8"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矿产品、建材及化工产品批发</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20082.9</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10943.2</w:t>
            </w:r>
          </w:p>
        </w:tc>
        <w:tc>
          <w:tcPr>
            <w:tcW w:w="1418"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39169.8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机械设备、五金产品及电子产品批发</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8"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贸易经纪与代理</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8"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其他批发业</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w:t>
            </w: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pPr>
              <w:rPr>
                <w:b/>
              </w:rPr>
            </w:pPr>
            <w:r>
              <w:rPr>
                <w:rFonts w:hint="eastAsia"/>
                <w:b/>
              </w:rPr>
              <w:t>零售业</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b/>
                <w:lang w:val="en-US" w:eastAsia="zh-CN"/>
              </w:rPr>
            </w:pPr>
            <w:r>
              <w:rPr>
                <w:rFonts w:hint="eastAsia"/>
                <w:b/>
                <w:lang w:val="en-US" w:eastAsia="zh-CN"/>
              </w:rPr>
              <w:t>7007.3</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b/>
                <w:lang w:val="en-US" w:eastAsia="zh-CN"/>
              </w:rPr>
            </w:pPr>
            <w:r>
              <w:rPr>
                <w:rFonts w:hint="eastAsia"/>
                <w:b/>
                <w:lang w:val="en-US" w:eastAsia="zh-CN"/>
              </w:rPr>
              <w:t>4882.1</w:t>
            </w:r>
          </w:p>
        </w:tc>
        <w:tc>
          <w:tcPr>
            <w:tcW w:w="1418" w:type="dxa"/>
            <w:gridSpan w:val="2"/>
            <w:tcBorders>
              <w:top w:val="nil"/>
              <w:left w:val="single" w:color="auto" w:sz="4" w:space="0"/>
              <w:bottom w:val="nil"/>
              <w:right w:val="nil"/>
            </w:tcBorders>
            <w:vAlign w:val="center"/>
          </w:tcPr>
          <w:p>
            <w:pPr>
              <w:jc w:val="center"/>
              <w:rPr>
                <w:rFonts w:hint="default" w:eastAsia="宋体"/>
                <w:b/>
                <w:lang w:val="en-US" w:eastAsia="zh-CN"/>
              </w:rPr>
            </w:pPr>
            <w:r>
              <w:rPr>
                <w:rFonts w:hint="eastAsia"/>
                <w:b/>
                <w:lang w:val="en-US" w:eastAsia="zh-CN"/>
              </w:rPr>
              <w:t>5347.6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综合零售</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3415.2</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3422.7</w:t>
            </w: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2505.5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食品、饮料及烟草制品专门零售</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1044.3</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127.7</w:t>
            </w: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96.4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纺织、服装及日用品专门零售</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8"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文化、体育用品及器材专门零售</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1065.9</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374.7</w:t>
            </w: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1166.1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医药及医疗器材专门零售</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8"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ascii="宋体" w:hAnsi="宋体" w:cs="宋体"/>
                <w:kern w:val="0"/>
                <w:szCs w:val="21"/>
              </w:rPr>
              <w:t>　汽车、摩托车、零配件和燃料及其他动力销售</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1004.9</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628.3</w:t>
            </w: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1045.4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家用电器及电子产品专门零售</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161.3</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163.3</w:t>
            </w: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281.1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nil"/>
              <w:right w:val="single" w:color="auto" w:sz="4" w:space="0"/>
            </w:tcBorders>
            <w:vAlign w:val="top"/>
          </w:tcPr>
          <w:p>
            <w:r>
              <w:rPr>
                <w:rFonts w:hint="eastAsia"/>
              </w:rPr>
              <w:t>　五金、家具及室内装饰材料专门零售</w:t>
            </w:r>
          </w:p>
        </w:tc>
        <w:tc>
          <w:tcPr>
            <w:tcW w:w="1416" w:type="dxa"/>
            <w:gridSpan w:val="2"/>
            <w:tcBorders>
              <w:top w:val="nil"/>
              <w:left w:val="single" w:color="auto" w:sz="4" w:space="0"/>
              <w:bottom w:val="nil"/>
              <w:right w:val="single" w:color="auto" w:sz="4" w:space="0"/>
            </w:tcBorders>
            <w:vAlign w:val="center"/>
          </w:tcPr>
          <w:p>
            <w:pPr>
              <w:jc w:val="center"/>
              <w:rPr>
                <w:rFonts w:hint="default" w:eastAsia="宋体"/>
                <w:lang w:val="en-US" w:eastAsia="zh-CN"/>
              </w:rPr>
            </w:pPr>
            <w:r>
              <w:rPr>
                <w:rFonts w:hint="eastAsia"/>
                <w:lang w:val="en-US" w:eastAsia="zh-CN"/>
              </w:rPr>
              <w:t>69.9</w:t>
            </w:r>
          </w:p>
        </w:tc>
        <w:tc>
          <w:tcPr>
            <w:tcW w:w="1416"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418" w:type="dxa"/>
            <w:gridSpan w:val="2"/>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530" w:type="dxa"/>
            <w:gridSpan w:val="2"/>
            <w:tcBorders>
              <w:top w:val="nil"/>
              <w:left w:val="nil"/>
              <w:bottom w:val="single" w:color="auto" w:sz="12" w:space="0"/>
              <w:right w:val="single" w:color="auto" w:sz="4" w:space="0"/>
            </w:tcBorders>
            <w:vAlign w:val="top"/>
          </w:tcPr>
          <w:p>
            <w:r>
              <w:rPr>
                <w:rFonts w:hint="eastAsia"/>
              </w:rPr>
              <w:t>　货摊、无店铺及其他零售业</w:t>
            </w:r>
          </w:p>
        </w:tc>
        <w:tc>
          <w:tcPr>
            <w:tcW w:w="1416" w:type="dxa"/>
            <w:gridSpan w:val="2"/>
            <w:tcBorders>
              <w:top w:val="nil"/>
              <w:left w:val="single" w:color="auto" w:sz="4" w:space="0"/>
              <w:bottom w:val="single" w:color="auto" w:sz="12" w:space="0"/>
              <w:right w:val="single" w:color="auto" w:sz="4" w:space="0"/>
            </w:tcBorders>
            <w:vAlign w:val="center"/>
          </w:tcPr>
          <w:p>
            <w:pPr>
              <w:jc w:val="center"/>
              <w:rPr>
                <w:rFonts w:hint="default" w:eastAsia="宋体"/>
                <w:lang w:val="en-US" w:eastAsia="zh-CN"/>
              </w:rPr>
            </w:pPr>
            <w:r>
              <w:rPr>
                <w:rFonts w:hint="eastAsia"/>
                <w:lang w:val="en-US" w:eastAsia="zh-CN"/>
              </w:rPr>
              <w:t>245.8</w:t>
            </w:r>
          </w:p>
        </w:tc>
        <w:tc>
          <w:tcPr>
            <w:tcW w:w="1416" w:type="dxa"/>
            <w:gridSpan w:val="2"/>
            <w:tcBorders>
              <w:top w:val="nil"/>
              <w:left w:val="single" w:color="auto" w:sz="4" w:space="0"/>
              <w:bottom w:val="single" w:color="auto" w:sz="12" w:space="0"/>
              <w:right w:val="single" w:color="auto" w:sz="4" w:space="0"/>
            </w:tcBorders>
            <w:vAlign w:val="center"/>
          </w:tcPr>
          <w:p>
            <w:pPr>
              <w:jc w:val="center"/>
              <w:rPr>
                <w:rFonts w:hint="default" w:eastAsia="宋体"/>
                <w:lang w:val="en-US" w:eastAsia="zh-CN"/>
              </w:rPr>
            </w:pPr>
            <w:r>
              <w:rPr>
                <w:rFonts w:hint="eastAsia"/>
                <w:lang w:val="en-US" w:eastAsia="zh-CN"/>
              </w:rPr>
              <w:t>165.6</w:t>
            </w:r>
          </w:p>
        </w:tc>
        <w:tc>
          <w:tcPr>
            <w:tcW w:w="1418" w:type="dxa"/>
            <w:gridSpan w:val="2"/>
            <w:tcBorders>
              <w:top w:val="nil"/>
              <w:left w:val="single" w:color="auto" w:sz="4" w:space="0"/>
              <w:bottom w:val="single" w:color="auto" w:sz="12" w:space="0"/>
              <w:right w:val="nil"/>
            </w:tcBorders>
            <w:vAlign w:val="center"/>
          </w:tcPr>
          <w:p>
            <w:pPr>
              <w:jc w:val="center"/>
              <w:rPr>
                <w:rFonts w:hint="default" w:eastAsia="宋体"/>
                <w:lang w:val="en-US" w:eastAsia="zh-CN"/>
              </w:rPr>
            </w:pPr>
            <w:r>
              <w:rPr>
                <w:rFonts w:hint="eastAsia"/>
                <w:lang w:val="en-US" w:eastAsia="zh-CN"/>
              </w:rPr>
              <w:t>170.2</w:t>
            </w: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both"/>
        <w:textAlignment w:val="baseline"/>
        <w:rPr>
          <w:rFonts w:hint="eastAsia" w:ascii="黑体" w:hAnsi="宋体" w:eastAsia="黑体" w:cs="黑体"/>
          <w:b w:val="0"/>
          <w:i w:val="0"/>
          <w:caps w:val="0"/>
          <w:color w:val="333333"/>
          <w:spacing w:val="8"/>
          <w:sz w:val="25"/>
          <w:szCs w:val="25"/>
          <w:shd w:val="clear" w:color="080000" w:fill="FFFFFF"/>
        </w:rPr>
      </w:pP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黑体" w:hAnsi="宋体" w:eastAsia="黑体" w:cs="黑体"/>
          <w:b w:val="0"/>
          <w:i w:val="0"/>
          <w:caps w:val="0"/>
          <w:color w:val="333333"/>
          <w:spacing w:val="8"/>
          <w:sz w:val="25"/>
          <w:szCs w:val="25"/>
          <w:shd w:val="clear" w:color="080000" w:fill="FFFFFF"/>
        </w:rPr>
        <w:t>二、交通运输、仓储和邮政业</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（一）企业法人单位数和从业人员。</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2018年末，我</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县</w:t>
      </w:r>
      <w:r>
        <w:rPr>
          <w:rFonts w:hint="eastAsia" w:ascii="Microsoft YaHei UI" w:hAnsi="Microsoft YaHei UI" w:eastAsia="Microsoft YaHei UI" w:cs="Microsoft YaHei UI"/>
          <w:b w:val="0"/>
          <w:i w:val="0"/>
          <w:caps w:val="0"/>
          <w:color w:val="333333"/>
          <w:spacing w:val="8"/>
          <w:sz w:val="25"/>
          <w:szCs w:val="25"/>
          <w:shd w:val="clear" w:color="080000" w:fill="FFFFFF"/>
        </w:rPr>
        <w:t>共有交通运输、仓储和邮政业企业法人单位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8</w:t>
      </w:r>
      <w:r>
        <w:rPr>
          <w:rFonts w:hint="eastAsia" w:ascii="Microsoft YaHei UI" w:hAnsi="Microsoft YaHei UI" w:eastAsia="Microsoft YaHei UI" w:cs="Microsoft YaHei UI"/>
          <w:b w:val="0"/>
          <w:i w:val="0"/>
          <w:caps w:val="0"/>
          <w:color w:val="333333"/>
          <w:spacing w:val="8"/>
          <w:sz w:val="25"/>
          <w:szCs w:val="25"/>
          <w:shd w:val="clear" w:color="080000" w:fill="FFFFFF"/>
        </w:rPr>
        <w:t>个，从业人员</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111</w:t>
      </w:r>
      <w:r>
        <w:rPr>
          <w:rFonts w:hint="eastAsia" w:ascii="Microsoft YaHei UI" w:hAnsi="Microsoft YaHei UI" w:eastAsia="Microsoft YaHei UI" w:cs="Microsoft YaHei UI"/>
          <w:b w:val="0"/>
          <w:i w:val="0"/>
          <w:caps w:val="0"/>
          <w:color w:val="333333"/>
          <w:spacing w:val="8"/>
          <w:sz w:val="25"/>
          <w:szCs w:val="25"/>
          <w:shd w:val="clear" w:color="080000" w:fill="FFFFFF"/>
        </w:rPr>
        <w:t>人，分别比2013年末</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下降20</w:t>
      </w:r>
      <w:r>
        <w:rPr>
          <w:rFonts w:hint="eastAsia" w:ascii="Microsoft YaHei UI" w:hAnsi="Microsoft YaHei UI" w:eastAsia="Microsoft YaHei UI" w:cs="Microsoft YaHei UI"/>
          <w:b w:val="0"/>
          <w:i w:val="0"/>
          <w:caps w:val="0"/>
          <w:color w:val="333333"/>
          <w:spacing w:val="8"/>
          <w:sz w:val="25"/>
          <w:szCs w:val="25"/>
          <w:shd w:val="clear" w:color="080000" w:fill="FFFFFF"/>
        </w:rPr>
        <w:t>%和</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增长42.31</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%（详见表4-4）。</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629"/>
        <w:gridCol w:w="2332"/>
        <w:gridCol w:w="23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right="57"/>
              <w:jc w:val="center"/>
              <w:rPr>
                <w:rFonts w:ascii="宋体" w:hAnsi="宋体" w:cs="宋体"/>
                <w:kern w:val="0"/>
                <w:sz w:val="24"/>
              </w:rPr>
            </w:pPr>
            <w:r>
              <w:rPr>
                <w:rFonts w:hint="eastAsia" w:ascii="宋体" w:hAnsi="宋体" w:cs="宋体"/>
                <w:b/>
                <w:bCs/>
                <w:kern w:val="0"/>
                <w:sz w:val="24"/>
              </w:rPr>
              <w:t>表</w:t>
            </w:r>
            <w:r>
              <w:rPr>
                <w:b/>
                <w:bCs/>
                <w:kern w:val="0"/>
                <w:sz w:val="24"/>
              </w:rPr>
              <w:t>4-4</w:t>
            </w:r>
            <w:r>
              <w:rPr>
                <w:rFonts w:hint="eastAsia" w:ascii="宋体" w:hAnsi="宋体" w:cs="宋体"/>
                <w:b/>
                <w:bCs/>
                <w:kern w:val="0"/>
                <w:sz w:val="24"/>
              </w:rPr>
              <w:t>　按行业大类分组的交通运输、仓储和邮政业企业法人单位和从业人员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36" w:type="dxa"/>
            <w:gridSpan w:val="2"/>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cs="宋体"/>
                <w:b/>
                <w:kern w:val="0"/>
                <w:sz w:val="18"/>
                <w:szCs w:val="18"/>
              </w:rPr>
            </w:pPr>
            <w:r>
              <w:rPr>
                <w:rFonts w:hint="eastAsia" w:ascii="宋体" w:hAnsi="宋体" w:cs="宋体"/>
                <w:b/>
                <w:kern w:val="0"/>
                <w:szCs w:val="21"/>
              </w:rPr>
              <w:t>　</w:t>
            </w:r>
          </w:p>
        </w:tc>
        <w:tc>
          <w:tcPr>
            <w:tcW w:w="2332"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w:t>
            </w:r>
          </w:p>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（个）</w:t>
            </w:r>
          </w:p>
        </w:tc>
        <w:tc>
          <w:tcPr>
            <w:tcW w:w="2338"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w:t>
            </w:r>
          </w:p>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w:t>
            </w:r>
            <w:r>
              <w:rPr>
                <w:rFonts w:hint="eastAsia" w:ascii="宋体" w:hAnsi="宋体" w:cs="宋体"/>
                <w:b/>
                <w:kern w:val="0"/>
                <w:szCs w:val="21"/>
                <w:lang w:val="en-US" w:eastAsia="zh-CN"/>
              </w:rPr>
              <w:t>人</w:t>
            </w:r>
            <w:r>
              <w:rPr>
                <w:rFonts w:hint="eastAsia" w:ascii="宋体" w:hAnsi="宋体" w:cs="宋体"/>
                <w:b/>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29"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332" w:type="dxa"/>
            <w:tcBorders>
              <w:top w:val="single" w:color="auto" w:sz="4" w:space="0"/>
              <w:left w:val="single" w:color="auto" w:sz="4" w:space="0"/>
              <w:bottom w:val="nil"/>
              <w:right w:val="single" w:color="auto" w:sz="4" w:space="0"/>
            </w:tcBorders>
            <w:vAlign w:val="top"/>
          </w:tcPr>
          <w:p>
            <w:pPr>
              <w:jc w:val="center"/>
              <w:rPr>
                <w:rFonts w:hint="eastAsia" w:eastAsia="宋体"/>
                <w:b/>
                <w:lang w:val="en-US" w:eastAsia="zh-CN"/>
              </w:rPr>
            </w:pPr>
            <w:r>
              <w:rPr>
                <w:rFonts w:hint="eastAsia"/>
                <w:b/>
                <w:lang w:val="en-US" w:eastAsia="zh-CN"/>
              </w:rPr>
              <w:t>8</w:t>
            </w:r>
          </w:p>
        </w:tc>
        <w:tc>
          <w:tcPr>
            <w:tcW w:w="2338" w:type="dxa"/>
            <w:tcBorders>
              <w:top w:val="single" w:color="auto" w:sz="4" w:space="0"/>
              <w:left w:val="single" w:color="auto" w:sz="4" w:space="0"/>
              <w:bottom w:val="nil"/>
              <w:right w:val="nil"/>
            </w:tcBorders>
            <w:vAlign w:val="top"/>
          </w:tcPr>
          <w:p>
            <w:pPr>
              <w:jc w:val="center"/>
              <w:rPr>
                <w:rFonts w:hint="eastAsia" w:eastAsia="宋体"/>
                <w:b/>
                <w:lang w:val="en-US" w:eastAsia="zh-CN"/>
              </w:rPr>
            </w:pPr>
            <w:r>
              <w:rPr>
                <w:rFonts w:hint="eastAsia"/>
                <w:b/>
                <w:lang w:val="en-US" w:eastAsia="zh-CN"/>
              </w:rPr>
              <w:t>111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29" w:type="dxa"/>
            <w:tcBorders>
              <w:top w:val="nil"/>
              <w:left w:val="nil"/>
              <w:bottom w:val="nil"/>
              <w:right w:val="single" w:color="auto" w:sz="4" w:space="0"/>
            </w:tcBorders>
            <w:vAlign w:val="center"/>
          </w:tcPr>
          <w:p>
            <w:r>
              <w:rPr>
                <w:rFonts w:hint="eastAsia" w:ascii="宋体" w:hAnsi="宋体" w:cs="宋体"/>
                <w:kern w:val="0"/>
                <w:szCs w:val="21"/>
              </w:rPr>
              <w:t>　铁路运输业</w:t>
            </w:r>
          </w:p>
        </w:tc>
        <w:tc>
          <w:tcPr>
            <w:tcW w:w="2332" w:type="dxa"/>
            <w:tcBorders>
              <w:top w:val="nil"/>
              <w:left w:val="single" w:color="auto" w:sz="4" w:space="0"/>
              <w:bottom w:val="nil"/>
              <w:right w:val="single" w:color="auto" w:sz="4" w:space="0"/>
            </w:tcBorders>
            <w:vAlign w:val="top"/>
          </w:tcPr>
          <w:p>
            <w:pPr>
              <w:jc w:val="center"/>
              <w:rPr>
                <w:rFonts w:hint="eastAsia" w:eastAsia="宋体"/>
                <w:lang w:val="en-US" w:eastAsia="zh-CN"/>
              </w:rPr>
            </w:pPr>
          </w:p>
        </w:tc>
        <w:tc>
          <w:tcPr>
            <w:tcW w:w="2338" w:type="dxa"/>
            <w:tcBorders>
              <w:top w:val="nil"/>
              <w:left w:val="single" w:color="auto" w:sz="4" w:space="0"/>
              <w:bottom w:val="nil"/>
              <w:right w:val="nil"/>
            </w:tcBorders>
            <w:vAlign w:val="top"/>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29" w:type="dxa"/>
            <w:tcBorders>
              <w:top w:val="nil"/>
              <w:left w:val="nil"/>
              <w:bottom w:val="nil"/>
              <w:right w:val="single" w:color="auto" w:sz="4" w:space="0"/>
            </w:tcBorders>
            <w:vAlign w:val="center"/>
          </w:tcPr>
          <w:p>
            <w:r>
              <w:rPr>
                <w:rFonts w:hint="eastAsia" w:ascii="宋体" w:hAnsi="宋体" w:cs="宋体"/>
                <w:kern w:val="0"/>
                <w:szCs w:val="21"/>
              </w:rPr>
              <w:t>　道路运输业</w:t>
            </w:r>
          </w:p>
        </w:tc>
        <w:tc>
          <w:tcPr>
            <w:tcW w:w="2332" w:type="dxa"/>
            <w:tcBorders>
              <w:top w:val="nil"/>
              <w:left w:val="single" w:color="auto" w:sz="4" w:space="0"/>
              <w:bottom w:val="nil"/>
              <w:right w:val="single" w:color="auto" w:sz="4" w:space="0"/>
            </w:tcBorders>
            <w:vAlign w:val="top"/>
          </w:tcPr>
          <w:p>
            <w:pPr>
              <w:jc w:val="center"/>
              <w:rPr>
                <w:rFonts w:hint="eastAsia" w:eastAsia="宋体"/>
                <w:lang w:val="en-US" w:eastAsia="zh-CN"/>
              </w:rPr>
            </w:pPr>
            <w:r>
              <w:rPr>
                <w:rFonts w:hint="eastAsia"/>
                <w:lang w:val="en-US" w:eastAsia="zh-CN"/>
              </w:rPr>
              <w:t>3</w:t>
            </w:r>
          </w:p>
        </w:tc>
        <w:tc>
          <w:tcPr>
            <w:tcW w:w="2338"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29" w:type="dxa"/>
            <w:tcBorders>
              <w:top w:val="nil"/>
              <w:left w:val="nil"/>
              <w:bottom w:val="nil"/>
              <w:right w:val="single" w:color="auto" w:sz="4" w:space="0"/>
            </w:tcBorders>
            <w:vAlign w:val="center"/>
          </w:tcPr>
          <w:p>
            <w:r>
              <w:rPr>
                <w:rFonts w:hint="eastAsia" w:ascii="宋体" w:hAnsi="宋体" w:cs="宋体"/>
                <w:kern w:val="0"/>
                <w:szCs w:val="21"/>
              </w:rPr>
              <w:t>　水上运输业</w:t>
            </w:r>
          </w:p>
        </w:tc>
        <w:tc>
          <w:tcPr>
            <w:tcW w:w="2332" w:type="dxa"/>
            <w:tcBorders>
              <w:top w:val="nil"/>
              <w:left w:val="single" w:color="auto" w:sz="4" w:space="0"/>
              <w:bottom w:val="nil"/>
              <w:right w:val="single" w:color="auto" w:sz="4" w:space="0"/>
            </w:tcBorders>
            <w:vAlign w:val="top"/>
          </w:tcPr>
          <w:p>
            <w:pPr>
              <w:jc w:val="center"/>
              <w:rPr>
                <w:rFonts w:hint="eastAsia" w:eastAsia="宋体"/>
                <w:lang w:val="en-US" w:eastAsia="zh-CN"/>
              </w:rPr>
            </w:pPr>
          </w:p>
        </w:tc>
        <w:tc>
          <w:tcPr>
            <w:tcW w:w="2338" w:type="dxa"/>
            <w:tcBorders>
              <w:top w:val="nil"/>
              <w:left w:val="single" w:color="auto" w:sz="4" w:space="0"/>
              <w:bottom w:val="nil"/>
              <w:right w:val="nil"/>
            </w:tcBorders>
            <w:vAlign w:val="top"/>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29" w:type="dxa"/>
            <w:tcBorders>
              <w:top w:val="nil"/>
              <w:left w:val="nil"/>
              <w:bottom w:val="nil"/>
              <w:right w:val="single" w:color="auto" w:sz="4" w:space="0"/>
            </w:tcBorders>
            <w:vAlign w:val="center"/>
          </w:tcPr>
          <w:p>
            <w:r>
              <w:rPr>
                <w:rFonts w:hint="eastAsia" w:ascii="宋体" w:hAnsi="宋体" w:cs="宋体"/>
                <w:kern w:val="0"/>
                <w:szCs w:val="21"/>
              </w:rPr>
              <w:t>　航空运输业</w:t>
            </w:r>
          </w:p>
        </w:tc>
        <w:tc>
          <w:tcPr>
            <w:tcW w:w="2332" w:type="dxa"/>
            <w:tcBorders>
              <w:top w:val="nil"/>
              <w:left w:val="single" w:color="auto" w:sz="4" w:space="0"/>
              <w:bottom w:val="nil"/>
              <w:right w:val="single" w:color="auto" w:sz="4" w:space="0"/>
            </w:tcBorders>
            <w:vAlign w:val="top"/>
          </w:tcPr>
          <w:p>
            <w:pPr>
              <w:jc w:val="center"/>
              <w:rPr>
                <w:rFonts w:hint="eastAsia" w:eastAsia="宋体"/>
                <w:lang w:val="en-US" w:eastAsia="zh-CN"/>
              </w:rPr>
            </w:pPr>
          </w:p>
        </w:tc>
        <w:tc>
          <w:tcPr>
            <w:tcW w:w="2338" w:type="dxa"/>
            <w:tcBorders>
              <w:top w:val="nil"/>
              <w:left w:val="single" w:color="auto" w:sz="4" w:space="0"/>
              <w:bottom w:val="nil"/>
              <w:right w:val="nil"/>
            </w:tcBorders>
            <w:vAlign w:val="top"/>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29" w:type="dxa"/>
            <w:tcBorders>
              <w:top w:val="nil"/>
              <w:left w:val="nil"/>
              <w:bottom w:val="nil"/>
              <w:right w:val="single" w:color="auto" w:sz="4" w:space="0"/>
            </w:tcBorders>
            <w:vAlign w:val="center"/>
          </w:tcPr>
          <w:p>
            <w:r>
              <w:rPr>
                <w:rFonts w:hint="eastAsia" w:ascii="宋体" w:hAnsi="宋体" w:cs="宋体"/>
                <w:kern w:val="0"/>
                <w:szCs w:val="21"/>
              </w:rPr>
              <w:t>　管道运输业</w:t>
            </w:r>
          </w:p>
        </w:tc>
        <w:tc>
          <w:tcPr>
            <w:tcW w:w="2332" w:type="dxa"/>
            <w:tcBorders>
              <w:top w:val="nil"/>
              <w:left w:val="single" w:color="auto" w:sz="4" w:space="0"/>
              <w:bottom w:val="nil"/>
              <w:right w:val="single" w:color="auto" w:sz="4" w:space="0"/>
            </w:tcBorders>
            <w:vAlign w:val="top"/>
          </w:tcPr>
          <w:p>
            <w:pPr>
              <w:jc w:val="center"/>
              <w:rPr>
                <w:rFonts w:hint="eastAsia" w:eastAsia="宋体"/>
                <w:lang w:val="en-US" w:eastAsia="zh-CN"/>
              </w:rPr>
            </w:pPr>
          </w:p>
        </w:tc>
        <w:tc>
          <w:tcPr>
            <w:tcW w:w="2338" w:type="dxa"/>
            <w:tcBorders>
              <w:top w:val="nil"/>
              <w:left w:val="single" w:color="auto" w:sz="4" w:space="0"/>
              <w:bottom w:val="nil"/>
              <w:right w:val="nil"/>
            </w:tcBorders>
            <w:vAlign w:val="top"/>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29" w:type="dxa"/>
            <w:tcBorders>
              <w:top w:val="nil"/>
              <w:left w:val="nil"/>
              <w:bottom w:val="nil"/>
              <w:right w:val="single" w:color="auto" w:sz="4" w:space="0"/>
            </w:tcBorders>
            <w:vAlign w:val="center"/>
          </w:tcPr>
          <w:p>
            <w:r>
              <w:rPr>
                <w:rFonts w:hint="eastAsia" w:ascii="宋体" w:hAnsi="宋体" w:cs="宋体"/>
                <w:kern w:val="0"/>
                <w:szCs w:val="21"/>
              </w:rPr>
              <w:t>　多式</w:t>
            </w:r>
            <w:r>
              <w:rPr>
                <w:rFonts w:ascii="宋体" w:hAnsi="宋体" w:cs="宋体"/>
                <w:kern w:val="0"/>
                <w:szCs w:val="21"/>
              </w:rPr>
              <w:t>联运和</w:t>
            </w:r>
            <w:r>
              <w:rPr>
                <w:rFonts w:hint="eastAsia" w:ascii="宋体" w:hAnsi="宋体" w:cs="宋体"/>
                <w:kern w:val="0"/>
                <w:szCs w:val="21"/>
              </w:rPr>
              <w:t>运输代理业</w:t>
            </w:r>
          </w:p>
        </w:tc>
        <w:tc>
          <w:tcPr>
            <w:tcW w:w="2332" w:type="dxa"/>
            <w:tcBorders>
              <w:top w:val="nil"/>
              <w:left w:val="single" w:color="auto" w:sz="4" w:space="0"/>
              <w:bottom w:val="nil"/>
              <w:right w:val="single" w:color="auto" w:sz="4" w:space="0"/>
            </w:tcBorders>
            <w:vAlign w:val="top"/>
          </w:tcPr>
          <w:p>
            <w:pPr>
              <w:jc w:val="center"/>
              <w:rPr>
                <w:rFonts w:hint="eastAsia" w:eastAsia="宋体"/>
                <w:lang w:val="en-US" w:eastAsia="zh-CN"/>
              </w:rPr>
            </w:pPr>
          </w:p>
        </w:tc>
        <w:tc>
          <w:tcPr>
            <w:tcW w:w="2338" w:type="dxa"/>
            <w:tcBorders>
              <w:top w:val="nil"/>
              <w:left w:val="single" w:color="auto" w:sz="4" w:space="0"/>
              <w:bottom w:val="nil"/>
              <w:right w:val="nil"/>
            </w:tcBorders>
            <w:vAlign w:val="top"/>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29" w:type="dxa"/>
            <w:tcBorders>
              <w:top w:val="nil"/>
              <w:left w:val="nil"/>
              <w:bottom w:val="nil"/>
              <w:right w:val="single" w:color="auto" w:sz="4" w:space="0"/>
            </w:tcBorders>
            <w:vAlign w:val="center"/>
          </w:tcPr>
          <w:p>
            <w:r>
              <w:rPr>
                <w:rFonts w:hint="eastAsia" w:ascii="宋体" w:hAnsi="宋体" w:cs="宋体"/>
                <w:kern w:val="0"/>
                <w:szCs w:val="21"/>
              </w:rPr>
              <w:t>　装卸搬运和仓储业</w:t>
            </w:r>
          </w:p>
        </w:tc>
        <w:tc>
          <w:tcPr>
            <w:tcW w:w="2332" w:type="dxa"/>
            <w:tcBorders>
              <w:top w:val="nil"/>
              <w:left w:val="single" w:color="auto" w:sz="4" w:space="0"/>
              <w:bottom w:val="nil"/>
              <w:right w:val="single" w:color="auto" w:sz="4" w:space="0"/>
            </w:tcBorders>
            <w:vAlign w:val="top"/>
          </w:tcPr>
          <w:p>
            <w:pPr>
              <w:jc w:val="center"/>
              <w:rPr>
                <w:rFonts w:hint="eastAsia" w:eastAsia="宋体"/>
                <w:lang w:val="en-US" w:eastAsia="zh-CN"/>
              </w:rPr>
            </w:pPr>
            <w:r>
              <w:rPr>
                <w:rFonts w:hint="eastAsia"/>
                <w:lang w:val="en-US" w:eastAsia="zh-CN"/>
              </w:rPr>
              <w:t>2</w:t>
            </w:r>
          </w:p>
        </w:tc>
        <w:tc>
          <w:tcPr>
            <w:tcW w:w="2338"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29" w:type="dxa"/>
            <w:tcBorders>
              <w:top w:val="nil"/>
              <w:left w:val="nil"/>
              <w:bottom w:val="single" w:color="auto" w:sz="12" w:space="0"/>
              <w:right w:val="single" w:color="auto" w:sz="4" w:space="0"/>
            </w:tcBorders>
            <w:vAlign w:val="center"/>
          </w:tcPr>
          <w:p>
            <w:r>
              <w:rPr>
                <w:rFonts w:hint="eastAsia" w:ascii="宋体" w:hAnsi="宋体" w:cs="宋体"/>
                <w:kern w:val="0"/>
                <w:szCs w:val="21"/>
              </w:rPr>
              <w:t>　邮政业</w:t>
            </w:r>
          </w:p>
        </w:tc>
        <w:tc>
          <w:tcPr>
            <w:tcW w:w="2332" w:type="dxa"/>
            <w:tcBorders>
              <w:top w:val="nil"/>
              <w:left w:val="single" w:color="auto" w:sz="4" w:space="0"/>
              <w:bottom w:val="single" w:color="auto" w:sz="12" w:space="0"/>
              <w:right w:val="single" w:color="auto" w:sz="4" w:space="0"/>
            </w:tcBorders>
            <w:vAlign w:val="top"/>
          </w:tcPr>
          <w:p>
            <w:pPr>
              <w:jc w:val="center"/>
              <w:rPr>
                <w:rFonts w:hint="eastAsia" w:eastAsia="宋体"/>
                <w:lang w:val="en-US" w:eastAsia="zh-CN"/>
              </w:rPr>
            </w:pPr>
            <w:r>
              <w:rPr>
                <w:rFonts w:hint="eastAsia"/>
                <w:lang w:val="en-US" w:eastAsia="zh-CN"/>
              </w:rPr>
              <w:t>3</w:t>
            </w:r>
          </w:p>
        </w:tc>
        <w:tc>
          <w:tcPr>
            <w:tcW w:w="2338" w:type="dxa"/>
            <w:tcBorders>
              <w:top w:val="nil"/>
              <w:left w:val="single" w:color="auto" w:sz="4" w:space="0"/>
              <w:bottom w:val="single" w:color="auto" w:sz="12" w:space="0"/>
              <w:right w:val="nil"/>
            </w:tcBorders>
            <w:vAlign w:val="top"/>
          </w:tcPr>
          <w:p>
            <w:pPr>
              <w:jc w:val="center"/>
              <w:rPr>
                <w:rFonts w:hint="eastAsia" w:eastAsia="宋体"/>
                <w:lang w:val="en-US" w:eastAsia="zh-CN"/>
              </w:rPr>
            </w:pPr>
            <w:r>
              <w:rPr>
                <w:rFonts w:hint="eastAsia"/>
                <w:lang w:val="en-US" w:eastAsia="zh-CN"/>
              </w:rPr>
              <w:t>31</w:t>
            </w: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在交通运输、仓储和邮政业企业法人单位中，内资企业占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r>
        <w:rPr>
          <w:rFonts w:hint="eastAsia" w:ascii="Microsoft YaHei UI" w:hAnsi="Microsoft YaHei UI" w:eastAsia="Microsoft YaHei UI" w:cs="Microsoft YaHei UI"/>
          <w:b w:val="0"/>
          <w:i w:val="0"/>
          <w:caps w:val="0"/>
          <w:color w:val="333333"/>
          <w:spacing w:val="8"/>
          <w:sz w:val="25"/>
          <w:szCs w:val="25"/>
          <w:shd w:val="clear" w:color="080000" w:fill="FFFFFF"/>
        </w:rPr>
        <w:t>在交通运输、仓储和邮政业企业法人单位从业人员中，内资企业占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%（详见表4-5）。</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633"/>
        <w:gridCol w:w="2330"/>
        <w:gridCol w:w="2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4-5</w:t>
            </w:r>
            <w:r>
              <w:rPr>
                <w:rFonts w:hint="eastAsia" w:ascii="宋体" w:hAnsi="宋体" w:cs="宋体"/>
                <w:b/>
                <w:bCs/>
                <w:kern w:val="0"/>
                <w:sz w:val="24"/>
              </w:rPr>
              <w:t>　按登记注册类型分组的交通运输、仓储和邮政业企业法人单位和从业人员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40"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b/>
                <w:kern w:val="0"/>
                <w:szCs w:val="21"/>
              </w:rPr>
              <w:t> </w:t>
            </w:r>
          </w:p>
        </w:tc>
        <w:tc>
          <w:tcPr>
            <w:tcW w:w="233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w:t>
            </w:r>
          </w:p>
          <w:p>
            <w:pPr>
              <w:widowControl/>
              <w:spacing w:line="240" w:lineRule="atLeast"/>
              <w:ind w:left="57" w:right="57"/>
              <w:jc w:val="center"/>
              <w:rPr>
                <w:rFonts w:ascii="宋体" w:hAnsi="宋体" w:cs="宋体"/>
                <w:b/>
                <w:kern w:val="0"/>
                <w:sz w:val="18"/>
                <w:szCs w:val="18"/>
              </w:rPr>
            </w:pPr>
            <w:r>
              <w:rPr>
                <w:b/>
                <w:kern w:val="0"/>
                <w:szCs w:val="21"/>
              </w:rPr>
              <w:t>(</w:t>
            </w:r>
            <w:r>
              <w:rPr>
                <w:rFonts w:hint="eastAsia" w:ascii="宋体" w:hAnsi="宋体" w:cs="宋体"/>
                <w:b/>
                <w:kern w:val="0"/>
                <w:szCs w:val="21"/>
              </w:rPr>
              <w:t>个</w:t>
            </w:r>
            <w:r>
              <w:rPr>
                <w:b/>
                <w:kern w:val="0"/>
                <w:szCs w:val="21"/>
              </w:rPr>
              <w:t>)</w:t>
            </w:r>
          </w:p>
        </w:tc>
        <w:tc>
          <w:tcPr>
            <w:tcW w:w="2336"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w:t>
            </w:r>
          </w:p>
          <w:p>
            <w:pPr>
              <w:widowControl/>
              <w:spacing w:line="240" w:lineRule="atLeast"/>
              <w:ind w:left="57" w:right="57"/>
              <w:jc w:val="center"/>
              <w:rPr>
                <w:rFonts w:ascii="宋体" w:hAnsi="宋体" w:cs="宋体"/>
                <w:b/>
                <w:kern w:val="0"/>
                <w:sz w:val="18"/>
                <w:szCs w:val="18"/>
              </w:rPr>
            </w:pPr>
            <w:r>
              <w:rPr>
                <w:b/>
                <w:kern w:val="0"/>
                <w:szCs w:val="21"/>
              </w:rPr>
              <w:t>(</w:t>
            </w:r>
            <w:r>
              <w:rPr>
                <w:rFonts w:hint="eastAsia" w:ascii="宋体" w:hAnsi="宋体" w:cs="宋体"/>
                <w:b/>
                <w:kern w:val="0"/>
                <w:szCs w:val="21"/>
              </w:rPr>
              <w:t>人</w:t>
            </w:r>
            <w:r>
              <w:rPr>
                <w:b/>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330" w:type="dxa"/>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8</w:t>
            </w:r>
          </w:p>
        </w:tc>
        <w:tc>
          <w:tcPr>
            <w:tcW w:w="2336" w:type="dxa"/>
            <w:tcBorders>
              <w:top w:val="single" w:color="auto" w:sz="4" w:space="0"/>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内资企业</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8</w:t>
            </w: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国有企业</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集体企业</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股份合作企业</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联营企业</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有限责任公司</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股份有限公司</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私营企业</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其他企业</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港、澳、台商投资企业</w:t>
            </w:r>
          </w:p>
        </w:tc>
        <w:tc>
          <w:tcPr>
            <w:tcW w:w="2330"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c>
          <w:tcPr>
            <w:tcW w:w="2336"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33"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外商投资企业</w:t>
            </w:r>
          </w:p>
        </w:tc>
        <w:tc>
          <w:tcPr>
            <w:tcW w:w="2330" w:type="dxa"/>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c>
          <w:tcPr>
            <w:tcW w:w="2336" w:type="dxa"/>
            <w:tcBorders>
              <w:top w:val="nil"/>
              <w:left w:val="single" w:color="auto" w:sz="4" w:space="0"/>
              <w:bottom w:val="single" w:color="auto" w:sz="12" w:space="0"/>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r>
    </w:tbl>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2018年末，交通运输、仓储和邮政业企业法人单位资产总计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3823.5万</w:t>
      </w:r>
      <w:r>
        <w:rPr>
          <w:rFonts w:hint="eastAsia" w:ascii="Microsoft YaHei UI" w:hAnsi="Microsoft YaHei UI" w:eastAsia="Microsoft YaHei UI" w:cs="Microsoft YaHei UI"/>
          <w:b w:val="0"/>
          <w:i w:val="0"/>
          <w:caps w:val="0"/>
          <w:color w:val="333333"/>
          <w:spacing w:val="8"/>
          <w:sz w:val="25"/>
          <w:szCs w:val="25"/>
          <w:shd w:val="clear" w:color="080000" w:fill="FFFFFF"/>
        </w:rPr>
        <w:t>元，比2013年末增长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18.75</w:t>
      </w:r>
      <w:r>
        <w:rPr>
          <w:rFonts w:hint="eastAsia" w:ascii="Microsoft YaHei UI" w:hAnsi="Microsoft YaHei UI" w:eastAsia="Microsoft YaHei UI" w:cs="Microsoft YaHei UI"/>
          <w:b w:val="0"/>
          <w:i w:val="0"/>
          <w:caps w:val="0"/>
          <w:color w:val="333333"/>
          <w:spacing w:val="8"/>
          <w:sz w:val="25"/>
          <w:szCs w:val="25"/>
          <w:shd w:val="clear" w:color="080000" w:fill="FFFFFF"/>
        </w:rPr>
        <w:t>%。负债合计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2614.2万</w:t>
      </w:r>
      <w:r>
        <w:rPr>
          <w:rFonts w:hint="eastAsia" w:ascii="Microsoft YaHei UI" w:hAnsi="Microsoft YaHei UI" w:eastAsia="Microsoft YaHei UI" w:cs="Microsoft YaHei UI"/>
          <w:b w:val="0"/>
          <w:i w:val="0"/>
          <w:caps w:val="0"/>
          <w:color w:val="333333"/>
          <w:spacing w:val="8"/>
          <w:sz w:val="25"/>
          <w:szCs w:val="25"/>
          <w:shd w:val="clear" w:color="080000" w:fill="FFFFFF"/>
        </w:rPr>
        <w:t>元。全年实现营业收入</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1643.6万</w:t>
      </w:r>
      <w:r>
        <w:rPr>
          <w:rFonts w:hint="eastAsia" w:ascii="Microsoft YaHei UI" w:hAnsi="Microsoft YaHei UI" w:eastAsia="Microsoft YaHei UI" w:cs="Microsoft YaHei UI"/>
          <w:b w:val="0"/>
          <w:i w:val="0"/>
          <w:caps w:val="0"/>
          <w:color w:val="333333"/>
          <w:spacing w:val="8"/>
          <w:sz w:val="25"/>
          <w:szCs w:val="25"/>
          <w:shd w:val="clear" w:color="080000" w:fill="FFFFFF"/>
        </w:rPr>
        <w:t>元（详见表4-6）。</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609"/>
        <w:gridCol w:w="7"/>
        <w:gridCol w:w="1512"/>
        <w:gridCol w:w="7"/>
        <w:gridCol w:w="1512"/>
        <w:gridCol w:w="7"/>
        <w:gridCol w:w="1638"/>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04" w:hRule="atLeast"/>
          <w:jc w:val="center"/>
        </w:trPr>
        <w:tc>
          <w:tcPr>
            <w:tcW w:w="8299" w:type="dxa"/>
            <w:gridSpan w:val="8"/>
            <w:tcBorders>
              <w:top w:val="nil"/>
              <w:left w:val="nil"/>
              <w:bottom w:val="single" w:color="auto" w:sz="12" w:space="0"/>
              <w:right w:val="nil"/>
            </w:tcBorders>
            <w:shd w:val="clear" w:color="auto" w:fill="FFFFFF"/>
            <w:vAlign w:val="center"/>
          </w:tcPr>
          <w:p>
            <w:pPr>
              <w:widowControl/>
              <w:spacing w:line="320" w:lineRule="atLeast"/>
              <w:ind w:right="57"/>
              <w:jc w:val="center"/>
              <w:rPr>
                <w:rFonts w:ascii="宋体" w:hAnsi="宋体" w:cs="宋体"/>
                <w:b/>
                <w:bCs/>
                <w:kern w:val="0"/>
                <w:sz w:val="24"/>
              </w:rPr>
            </w:pPr>
            <w:r>
              <w:rPr>
                <w:rFonts w:hint="eastAsia" w:ascii="宋体" w:hAnsi="宋体" w:cs="宋体"/>
                <w:b/>
                <w:bCs/>
                <w:kern w:val="0"/>
                <w:sz w:val="24"/>
              </w:rPr>
              <w:t>表</w:t>
            </w:r>
            <w:r>
              <w:rPr>
                <w:rFonts w:ascii="宋体" w:hAnsi="宋体" w:cs="宋体"/>
                <w:b/>
                <w:bCs/>
                <w:kern w:val="0"/>
                <w:sz w:val="24"/>
              </w:rPr>
              <w:t>4-6</w:t>
            </w:r>
            <w:r>
              <w:rPr>
                <w:rFonts w:hint="eastAsia" w:ascii="宋体" w:hAnsi="宋体" w:cs="宋体"/>
                <w:b/>
                <w:bCs/>
                <w:kern w:val="0"/>
                <w:sz w:val="24"/>
              </w:rPr>
              <w:t>　按行业大类分组的交通运输、仓储和邮政业企业法人单位主要经济</w:t>
            </w:r>
            <w:r>
              <w:rPr>
                <w:rFonts w:ascii="宋体" w:hAnsi="宋体" w:cs="宋体"/>
                <w:b/>
                <w:bCs/>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3616" w:type="dxa"/>
            <w:gridSpan w:val="2"/>
            <w:tcBorders>
              <w:top w:val="nil"/>
              <w:left w:val="nil"/>
              <w:bottom w:val="single" w:color="auto" w:sz="4" w:space="0"/>
              <w:right w:val="single" w:color="auto" w:sz="4" w:space="0"/>
            </w:tcBorders>
            <w:vAlign w:val="center"/>
          </w:tcPr>
          <w:p>
            <w:pPr>
              <w:widowControl/>
              <w:spacing w:line="240" w:lineRule="atLeast"/>
              <w:ind w:right="57"/>
              <w:rPr>
                <w:rFonts w:hint="eastAsia" w:ascii="宋体" w:hAnsi="宋体" w:cs="宋体"/>
                <w:b/>
                <w:kern w:val="0"/>
                <w:sz w:val="18"/>
                <w:szCs w:val="18"/>
              </w:rPr>
            </w:pPr>
          </w:p>
        </w:tc>
        <w:tc>
          <w:tcPr>
            <w:tcW w:w="151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w:t>
            </w:r>
            <w:r>
              <w:rPr>
                <w:rFonts w:ascii="宋体" w:hAnsi="宋体" w:cs="宋体"/>
                <w:b/>
                <w:kern w:val="0"/>
                <w:szCs w:val="21"/>
              </w:rPr>
              <w:t>总计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51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645"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营业收入</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16"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519" w:type="dxa"/>
            <w:gridSpan w:val="2"/>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3823.5</w:t>
            </w:r>
          </w:p>
        </w:tc>
        <w:tc>
          <w:tcPr>
            <w:tcW w:w="1519" w:type="dxa"/>
            <w:gridSpan w:val="2"/>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2614.2</w:t>
            </w:r>
          </w:p>
        </w:tc>
        <w:tc>
          <w:tcPr>
            <w:tcW w:w="1645" w:type="dxa"/>
            <w:gridSpan w:val="2"/>
            <w:tcBorders>
              <w:top w:val="single" w:color="auto" w:sz="4" w:space="0"/>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1643.6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16" w:type="dxa"/>
            <w:gridSpan w:val="2"/>
            <w:tcBorders>
              <w:top w:val="nil"/>
              <w:left w:val="nil"/>
              <w:bottom w:val="nil"/>
              <w:right w:val="single" w:color="auto" w:sz="4" w:space="0"/>
            </w:tcBorders>
            <w:vAlign w:val="center"/>
          </w:tcPr>
          <w:p>
            <w:r>
              <w:rPr>
                <w:rFonts w:hint="eastAsia" w:ascii="宋体" w:hAnsi="宋体" w:cs="宋体"/>
                <w:kern w:val="0"/>
                <w:szCs w:val="21"/>
              </w:rPr>
              <w:t>　铁路运输业</w:t>
            </w: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645"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16" w:type="dxa"/>
            <w:gridSpan w:val="2"/>
            <w:tcBorders>
              <w:top w:val="nil"/>
              <w:left w:val="nil"/>
              <w:bottom w:val="nil"/>
              <w:right w:val="single" w:color="auto" w:sz="4" w:space="0"/>
            </w:tcBorders>
            <w:vAlign w:val="center"/>
          </w:tcPr>
          <w:p>
            <w:r>
              <w:rPr>
                <w:rFonts w:hint="eastAsia" w:ascii="宋体" w:hAnsi="宋体" w:cs="宋体"/>
                <w:kern w:val="0"/>
                <w:szCs w:val="21"/>
              </w:rPr>
              <w:t>　道路运输业</w:t>
            </w: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543.3</w:t>
            </w: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841.7</w:t>
            </w:r>
          </w:p>
        </w:tc>
        <w:tc>
          <w:tcPr>
            <w:tcW w:w="1645"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993.9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16" w:type="dxa"/>
            <w:gridSpan w:val="2"/>
            <w:tcBorders>
              <w:top w:val="nil"/>
              <w:left w:val="nil"/>
              <w:bottom w:val="nil"/>
              <w:right w:val="single" w:color="auto" w:sz="4" w:space="0"/>
            </w:tcBorders>
            <w:vAlign w:val="center"/>
          </w:tcPr>
          <w:p>
            <w:r>
              <w:rPr>
                <w:rFonts w:hint="eastAsia" w:ascii="宋体" w:hAnsi="宋体" w:cs="宋体"/>
                <w:kern w:val="0"/>
                <w:szCs w:val="21"/>
              </w:rPr>
              <w:t>　水上运输业</w:t>
            </w: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645"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16" w:type="dxa"/>
            <w:gridSpan w:val="2"/>
            <w:tcBorders>
              <w:top w:val="nil"/>
              <w:left w:val="nil"/>
              <w:bottom w:val="nil"/>
              <w:right w:val="single" w:color="auto" w:sz="4" w:space="0"/>
            </w:tcBorders>
            <w:vAlign w:val="center"/>
          </w:tcPr>
          <w:p>
            <w:r>
              <w:rPr>
                <w:rFonts w:hint="eastAsia" w:ascii="宋体" w:hAnsi="宋体" w:cs="宋体"/>
                <w:kern w:val="0"/>
                <w:szCs w:val="21"/>
              </w:rPr>
              <w:t>　航空运输业</w:t>
            </w: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645"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16" w:type="dxa"/>
            <w:gridSpan w:val="2"/>
            <w:tcBorders>
              <w:top w:val="nil"/>
              <w:left w:val="nil"/>
              <w:bottom w:val="nil"/>
              <w:right w:val="single" w:color="auto" w:sz="4" w:space="0"/>
            </w:tcBorders>
            <w:vAlign w:val="center"/>
          </w:tcPr>
          <w:p>
            <w:r>
              <w:rPr>
                <w:rFonts w:hint="eastAsia" w:ascii="宋体" w:hAnsi="宋体" w:cs="宋体"/>
                <w:kern w:val="0"/>
                <w:szCs w:val="21"/>
              </w:rPr>
              <w:t>　管道运输业</w:t>
            </w: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645"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16" w:type="dxa"/>
            <w:gridSpan w:val="2"/>
            <w:tcBorders>
              <w:top w:val="nil"/>
              <w:left w:val="nil"/>
              <w:bottom w:val="nil"/>
              <w:right w:val="single" w:color="auto" w:sz="4" w:space="0"/>
            </w:tcBorders>
            <w:vAlign w:val="center"/>
          </w:tcPr>
          <w:p>
            <w:r>
              <w:rPr>
                <w:rFonts w:hint="eastAsia" w:ascii="宋体" w:hAnsi="宋体" w:cs="宋体"/>
                <w:kern w:val="0"/>
                <w:szCs w:val="21"/>
              </w:rPr>
              <w:t>　多式</w:t>
            </w:r>
            <w:r>
              <w:rPr>
                <w:rFonts w:ascii="宋体" w:hAnsi="宋体" w:cs="宋体"/>
                <w:kern w:val="0"/>
                <w:szCs w:val="21"/>
              </w:rPr>
              <w:t>联运和</w:t>
            </w:r>
            <w:r>
              <w:rPr>
                <w:rFonts w:hint="eastAsia" w:ascii="宋体" w:hAnsi="宋体" w:cs="宋体"/>
                <w:kern w:val="0"/>
                <w:szCs w:val="21"/>
              </w:rPr>
              <w:t>运输代理业</w:t>
            </w: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645"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16" w:type="dxa"/>
            <w:gridSpan w:val="2"/>
            <w:tcBorders>
              <w:top w:val="nil"/>
              <w:left w:val="nil"/>
              <w:bottom w:val="nil"/>
              <w:right w:val="single" w:color="auto" w:sz="4" w:space="0"/>
            </w:tcBorders>
            <w:vAlign w:val="center"/>
          </w:tcPr>
          <w:p>
            <w:r>
              <w:rPr>
                <w:rFonts w:hint="eastAsia" w:ascii="宋体" w:hAnsi="宋体" w:cs="宋体"/>
                <w:kern w:val="0"/>
                <w:szCs w:val="21"/>
              </w:rPr>
              <w:t>　装卸搬运和仓储业</w:t>
            </w: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3202.3</w:t>
            </w:r>
          </w:p>
        </w:tc>
        <w:tc>
          <w:tcPr>
            <w:tcW w:w="151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1747.7</w:t>
            </w:r>
          </w:p>
        </w:tc>
        <w:tc>
          <w:tcPr>
            <w:tcW w:w="1645"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344.9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16" w:type="dxa"/>
            <w:gridSpan w:val="2"/>
            <w:tcBorders>
              <w:top w:val="nil"/>
              <w:left w:val="nil"/>
              <w:bottom w:val="single" w:color="auto" w:sz="12" w:space="0"/>
              <w:right w:val="single" w:color="auto" w:sz="4" w:space="0"/>
            </w:tcBorders>
            <w:vAlign w:val="center"/>
          </w:tcPr>
          <w:p>
            <w:r>
              <w:rPr>
                <w:rFonts w:hint="eastAsia" w:ascii="宋体" w:hAnsi="宋体" w:cs="宋体"/>
                <w:kern w:val="0"/>
                <w:szCs w:val="21"/>
              </w:rPr>
              <w:t>　邮政业</w:t>
            </w:r>
          </w:p>
        </w:tc>
        <w:tc>
          <w:tcPr>
            <w:tcW w:w="1519" w:type="dxa"/>
            <w:gridSpan w:val="2"/>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77.9</w:t>
            </w:r>
          </w:p>
        </w:tc>
        <w:tc>
          <w:tcPr>
            <w:tcW w:w="1519" w:type="dxa"/>
            <w:gridSpan w:val="2"/>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24.8</w:t>
            </w:r>
          </w:p>
        </w:tc>
        <w:tc>
          <w:tcPr>
            <w:tcW w:w="1645" w:type="dxa"/>
            <w:gridSpan w:val="2"/>
            <w:tcBorders>
              <w:top w:val="nil"/>
              <w:left w:val="single" w:color="auto" w:sz="4" w:space="0"/>
              <w:bottom w:val="single" w:color="auto" w:sz="12" w:space="0"/>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304.8</w:t>
            </w:r>
          </w:p>
        </w:tc>
      </w:tr>
    </w:tbl>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left="0" w:right="0" w:firstLine="532" w:firstLineChars="200"/>
        <w:jc w:val="both"/>
        <w:textAlignment w:val="baseline"/>
        <w:rPr>
          <w:rFonts w:hint="eastAsia" w:ascii="黑体" w:hAnsi="宋体" w:eastAsia="黑体" w:cs="黑体"/>
          <w:b w:val="0"/>
          <w:i w:val="0"/>
          <w:caps w:val="0"/>
          <w:color w:val="333333"/>
          <w:spacing w:val="8"/>
          <w:sz w:val="25"/>
          <w:szCs w:val="25"/>
          <w:shd w:val="clear" w:color="080000" w:fill="FFFFFF"/>
        </w:rPr>
      </w:pPr>
    </w:p>
    <w:p>
      <w:pPr>
        <w:pStyle w:val="6"/>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left="0" w:right="0" w:firstLine="532" w:firstLineChars="200"/>
        <w:jc w:val="both"/>
        <w:textAlignment w:val="baseline"/>
        <w:rPr>
          <w:rFonts w:hint="eastAsia" w:ascii="黑体" w:hAnsi="宋体" w:eastAsia="黑体" w:cs="黑体"/>
          <w:b w:val="0"/>
          <w:i w:val="0"/>
          <w:caps w:val="0"/>
          <w:color w:val="333333"/>
          <w:spacing w:val="8"/>
          <w:sz w:val="25"/>
          <w:szCs w:val="25"/>
          <w:shd w:val="clear" w:color="080000" w:fill="FFFFFF"/>
        </w:rPr>
      </w:pPr>
      <w:r>
        <w:rPr>
          <w:rFonts w:hint="eastAsia" w:ascii="黑体" w:hAnsi="宋体" w:eastAsia="黑体" w:cs="黑体"/>
          <w:b w:val="0"/>
          <w:i w:val="0"/>
          <w:caps w:val="0"/>
          <w:color w:val="333333"/>
          <w:spacing w:val="8"/>
          <w:sz w:val="25"/>
          <w:szCs w:val="25"/>
          <w:shd w:val="clear" w:color="080000" w:fill="FFFFFF"/>
        </w:rPr>
        <w:t>住宿和餐饮业</w:t>
      </w:r>
    </w:p>
    <w:p>
      <w:pPr>
        <w:pStyle w:val="6"/>
        <w:keepNext w:val="0"/>
        <w:keepLines w:val="0"/>
        <w:pageBreakBefore w:val="0"/>
        <w:widowControl/>
        <w:numPr>
          <w:numId w:val="0"/>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leftChars="200" w:right="0" w:rightChars="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（一）企业法人单位数和从业人员。</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2018年末，全</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县</w:t>
      </w:r>
      <w:r>
        <w:rPr>
          <w:rFonts w:hint="eastAsia" w:ascii="Microsoft YaHei UI" w:hAnsi="Microsoft YaHei UI" w:eastAsia="Microsoft YaHei UI" w:cs="Microsoft YaHei UI"/>
          <w:b w:val="0"/>
          <w:i w:val="0"/>
          <w:caps w:val="0"/>
          <w:color w:val="333333"/>
          <w:spacing w:val="8"/>
          <w:sz w:val="25"/>
          <w:szCs w:val="25"/>
          <w:shd w:val="clear" w:color="080000" w:fill="FFFFFF"/>
        </w:rPr>
        <w:t>共有住宿和餐饮业企业法人单位</w:t>
      </w:r>
      <w:r>
        <w:rPr>
          <w:rFonts w:hint="eastAsia" w:ascii="Microsoft YaHei UI" w:hAnsi="Microsoft YaHei UI" w:eastAsia="Microsoft YaHei UI" w:cs="Microsoft YaHei UI"/>
          <w:b w:val="0"/>
          <w:i w:val="0"/>
          <w:caps w:val="0"/>
          <w:color w:val="auto"/>
          <w:spacing w:val="8"/>
          <w:sz w:val="25"/>
          <w:szCs w:val="25"/>
          <w:shd w:val="clear" w:color="080000" w:fill="FFFFFF"/>
          <w:lang w:val="en-US" w:eastAsia="zh-CN"/>
        </w:rPr>
        <w:t>12</w:t>
      </w:r>
      <w:r>
        <w:rPr>
          <w:rFonts w:hint="eastAsia" w:ascii="Microsoft YaHei UI" w:hAnsi="Microsoft YaHei UI" w:eastAsia="Microsoft YaHei UI" w:cs="Microsoft YaHei UI"/>
          <w:b w:val="0"/>
          <w:i w:val="0"/>
          <w:caps w:val="0"/>
          <w:color w:val="333333"/>
          <w:spacing w:val="8"/>
          <w:sz w:val="25"/>
          <w:szCs w:val="25"/>
          <w:shd w:val="clear" w:color="080000" w:fill="FFFFFF"/>
        </w:rPr>
        <w:t>个，从业人员</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406</w:t>
      </w:r>
      <w:r>
        <w:rPr>
          <w:rFonts w:hint="eastAsia" w:ascii="Microsoft YaHei UI" w:hAnsi="Microsoft YaHei UI" w:eastAsia="Microsoft YaHei UI" w:cs="Microsoft YaHei UI"/>
          <w:b w:val="0"/>
          <w:i w:val="0"/>
          <w:caps w:val="0"/>
          <w:color w:val="333333"/>
          <w:spacing w:val="8"/>
          <w:sz w:val="25"/>
          <w:szCs w:val="25"/>
          <w:shd w:val="clear" w:color="080000" w:fill="FFFFFF"/>
        </w:rPr>
        <w:t>人，分别比2013年末增长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20</w:t>
      </w:r>
      <w:r>
        <w:rPr>
          <w:rFonts w:hint="eastAsia" w:ascii="Microsoft YaHei UI" w:hAnsi="Microsoft YaHei UI" w:eastAsia="Microsoft YaHei UI" w:cs="Microsoft YaHei UI"/>
          <w:b w:val="0"/>
          <w:i w:val="0"/>
          <w:caps w:val="0"/>
          <w:color w:val="333333"/>
          <w:spacing w:val="8"/>
          <w:sz w:val="25"/>
          <w:szCs w:val="25"/>
          <w:shd w:val="clear" w:color="080000" w:fill="FFFFFF"/>
        </w:rPr>
        <w:t>%和下降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8.56</w:t>
      </w:r>
      <w:r>
        <w:rPr>
          <w:rFonts w:hint="eastAsia" w:ascii="Microsoft YaHei UI" w:hAnsi="Microsoft YaHei UI" w:eastAsia="Microsoft YaHei UI" w:cs="Microsoft YaHei UI"/>
          <w:b w:val="0"/>
          <w:i w:val="0"/>
          <w:caps w:val="0"/>
          <w:color w:val="333333"/>
          <w:spacing w:val="8"/>
          <w:sz w:val="25"/>
          <w:szCs w:val="25"/>
          <w:shd w:val="clear" w:color="080000" w:fill="FFFFFF"/>
        </w:rPr>
        <w:t>%。</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在住宿和餐饮业企业法人单位中，住宿业占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75</w:t>
      </w:r>
      <w:r>
        <w:rPr>
          <w:rFonts w:hint="eastAsia" w:ascii="Microsoft YaHei UI" w:hAnsi="Microsoft YaHei UI" w:eastAsia="Microsoft YaHei UI" w:cs="Microsoft YaHei UI"/>
          <w:b w:val="0"/>
          <w:i w:val="0"/>
          <w:caps w:val="0"/>
          <w:color w:val="333333"/>
          <w:spacing w:val="8"/>
          <w:sz w:val="25"/>
          <w:szCs w:val="25"/>
          <w:shd w:val="clear" w:color="080000" w:fill="FFFFFF"/>
        </w:rPr>
        <w:t>%，餐饮业占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25</w:t>
      </w:r>
      <w:r>
        <w:rPr>
          <w:rFonts w:hint="eastAsia" w:ascii="Microsoft YaHei UI" w:hAnsi="Microsoft YaHei UI" w:eastAsia="Microsoft YaHei UI" w:cs="Microsoft YaHei UI"/>
          <w:b w:val="0"/>
          <w:i w:val="0"/>
          <w:caps w:val="0"/>
          <w:color w:val="333333"/>
          <w:spacing w:val="8"/>
          <w:sz w:val="25"/>
          <w:szCs w:val="25"/>
          <w:shd w:val="clear" w:color="080000" w:fill="FFFFFF"/>
        </w:rPr>
        <w:t>%。在住宿和餐饮业企业法人单位从业人员中，住宿业占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90.89</w:t>
      </w:r>
      <w:r>
        <w:rPr>
          <w:rFonts w:hint="eastAsia" w:ascii="Microsoft YaHei UI" w:hAnsi="Microsoft YaHei UI" w:eastAsia="Microsoft YaHei UI" w:cs="Microsoft YaHei UI"/>
          <w:b w:val="0"/>
          <w:i w:val="0"/>
          <w:caps w:val="0"/>
          <w:color w:val="333333"/>
          <w:spacing w:val="8"/>
          <w:sz w:val="25"/>
          <w:szCs w:val="25"/>
          <w:shd w:val="clear" w:color="080000" w:fill="FFFFFF"/>
        </w:rPr>
        <w:t>%</w:t>
      </w:r>
      <w:bookmarkStart w:id="0" w:name="_GoBack"/>
      <w:bookmarkEnd w:id="0"/>
      <w:r>
        <w:rPr>
          <w:rFonts w:hint="eastAsia" w:ascii="Microsoft YaHei UI" w:hAnsi="Microsoft YaHei UI" w:eastAsia="Microsoft YaHei UI" w:cs="Microsoft YaHei UI"/>
          <w:b w:val="0"/>
          <w:i w:val="0"/>
          <w:caps w:val="0"/>
          <w:color w:val="333333"/>
          <w:spacing w:val="8"/>
          <w:sz w:val="25"/>
          <w:szCs w:val="25"/>
          <w:shd w:val="clear" w:color="080000" w:fill="FFFFFF"/>
        </w:rPr>
        <w:t>，餐饮业占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9.11</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%（详见表4-7）。</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09"/>
        <w:gridCol w:w="2659"/>
        <w:gridCol w:w="19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4-7</w:t>
            </w:r>
            <w:r>
              <w:rPr>
                <w:rFonts w:hint="eastAsia" w:ascii="宋体" w:hAnsi="宋体" w:cs="宋体"/>
                <w:b/>
                <w:bCs/>
                <w:kern w:val="0"/>
                <w:sz w:val="24"/>
              </w:rPr>
              <w:t>　按行业中类分组的住宿和餐饮业企业法人单位和从业人员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16"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p>
        </w:tc>
        <w:tc>
          <w:tcPr>
            <w:tcW w:w="2659"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（个）</w:t>
            </w:r>
          </w:p>
        </w:tc>
        <w:tc>
          <w:tcPr>
            <w:tcW w:w="1931"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659" w:type="dxa"/>
            <w:tcBorders>
              <w:top w:val="single" w:color="auto" w:sz="4" w:space="0"/>
              <w:left w:val="single" w:color="auto" w:sz="4" w:space="0"/>
              <w:bottom w:val="nil"/>
              <w:right w:val="single" w:color="auto" w:sz="4" w:space="0"/>
            </w:tcBorders>
            <w:vAlign w:val="center"/>
          </w:tcPr>
          <w:p>
            <w:pPr>
              <w:jc w:val="center"/>
              <w:rPr>
                <w:rFonts w:hint="default" w:eastAsia="宋体"/>
                <w:b/>
                <w:lang w:val="en-US" w:eastAsia="zh-CN"/>
              </w:rPr>
            </w:pPr>
            <w:r>
              <w:rPr>
                <w:rFonts w:hint="eastAsia"/>
                <w:b/>
                <w:lang w:val="en-US" w:eastAsia="zh-CN"/>
              </w:rPr>
              <w:t>12</w:t>
            </w:r>
          </w:p>
        </w:tc>
        <w:tc>
          <w:tcPr>
            <w:tcW w:w="1931" w:type="dxa"/>
            <w:tcBorders>
              <w:top w:val="single" w:color="auto" w:sz="4" w:space="0"/>
              <w:left w:val="single" w:color="auto" w:sz="4" w:space="0"/>
              <w:bottom w:val="nil"/>
              <w:right w:val="nil"/>
            </w:tcBorders>
            <w:vAlign w:val="center"/>
          </w:tcPr>
          <w:p>
            <w:pPr>
              <w:jc w:val="center"/>
              <w:rPr>
                <w:rFonts w:hint="default" w:eastAsia="宋体"/>
                <w:b/>
                <w:lang w:val="en-US" w:eastAsia="zh-CN"/>
              </w:rPr>
            </w:pPr>
            <w:r>
              <w:rPr>
                <w:rFonts w:hint="eastAsia"/>
                <w:b/>
                <w:lang w:val="en-US" w:eastAsia="zh-CN"/>
              </w:rPr>
              <w:t>406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住宿业</w:t>
            </w:r>
          </w:p>
        </w:tc>
        <w:tc>
          <w:tcPr>
            <w:tcW w:w="2659" w:type="dxa"/>
            <w:tcBorders>
              <w:top w:val="nil"/>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9</w:t>
            </w:r>
          </w:p>
        </w:tc>
        <w:tc>
          <w:tcPr>
            <w:tcW w:w="1931" w:type="dxa"/>
            <w:tcBorders>
              <w:top w:val="nil"/>
              <w:left w:val="single" w:color="auto" w:sz="4" w:space="0"/>
              <w:bottom w:val="nil"/>
              <w:right w:val="nil"/>
            </w:tcBorders>
            <w:vAlign w:val="center"/>
          </w:tcPr>
          <w:p>
            <w:pPr>
              <w:jc w:val="center"/>
              <w:rPr>
                <w:rFonts w:hint="default" w:eastAsia="宋体"/>
                <w:b/>
                <w:lang w:val="en-US" w:eastAsia="zh-CN"/>
              </w:rPr>
            </w:pPr>
            <w:r>
              <w:rPr>
                <w:rFonts w:hint="eastAsia"/>
                <w:b/>
                <w:lang w:val="en-US" w:eastAsia="zh-CN"/>
              </w:rPr>
              <w:t>369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旅游饭店</w:t>
            </w:r>
          </w:p>
        </w:tc>
        <w:tc>
          <w:tcPr>
            <w:tcW w:w="2659" w:type="dxa"/>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5</w:t>
            </w:r>
          </w:p>
        </w:tc>
        <w:tc>
          <w:tcPr>
            <w:tcW w:w="1931" w:type="dxa"/>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283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一般旅馆</w:t>
            </w:r>
          </w:p>
        </w:tc>
        <w:tc>
          <w:tcPr>
            <w:tcW w:w="2659" w:type="dxa"/>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2</w:t>
            </w:r>
          </w:p>
        </w:tc>
        <w:tc>
          <w:tcPr>
            <w:tcW w:w="1931" w:type="dxa"/>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民宿</w:t>
            </w:r>
            <w:r>
              <w:rPr>
                <w:rFonts w:ascii="宋体" w:hAnsi="宋体" w:cs="宋体"/>
                <w:kern w:val="0"/>
                <w:szCs w:val="21"/>
              </w:rPr>
              <w:t>服务</w:t>
            </w:r>
          </w:p>
        </w:tc>
        <w:tc>
          <w:tcPr>
            <w:tcW w:w="2659" w:type="dxa"/>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w:t>
            </w:r>
          </w:p>
        </w:tc>
        <w:tc>
          <w:tcPr>
            <w:tcW w:w="1931" w:type="dxa"/>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Cs w:val="21"/>
              </w:rPr>
            </w:pPr>
            <w:r>
              <w:rPr>
                <w:rFonts w:hint="eastAsia" w:ascii="宋体" w:hAnsi="宋体" w:cs="宋体"/>
                <w:kern w:val="0"/>
                <w:szCs w:val="21"/>
              </w:rPr>
              <w:t xml:space="preserve">    露营</w:t>
            </w:r>
            <w:r>
              <w:rPr>
                <w:rFonts w:ascii="宋体" w:hAnsi="宋体" w:cs="宋体"/>
                <w:kern w:val="0"/>
                <w:szCs w:val="21"/>
              </w:rPr>
              <w:t>地服务</w:t>
            </w:r>
          </w:p>
        </w:tc>
        <w:tc>
          <w:tcPr>
            <w:tcW w:w="2659" w:type="dxa"/>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931" w:type="dxa"/>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其他住宿业</w:t>
            </w:r>
          </w:p>
        </w:tc>
        <w:tc>
          <w:tcPr>
            <w:tcW w:w="2659" w:type="dxa"/>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w:t>
            </w:r>
          </w:p>
        </w:tc>
        <w:tc>
          <w:tcPr>
            <w:tcW w:w="1931" w:type="dxa"/>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餐饮业</w:t>
            </w:r>
          </w:p>
        </w:tc>
        <w:tc>
          <w:tcPr>
            <w:tcW w:w="2659" w:type="dxa"/>
            <w:tcBorders>
              <w:top w:val="nil"/>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3</w:t>
            </w:r>
          </w:p>
        </w:tc>
        <w:tc>
          <w:tcPr>
            <w:tcW w:w="1931" w:type="dxa"/>
            <w:tcBorders>
              <w:top w:val="nil"/>
              <w:left w:val="single" w:color="auto" w:sz="4" w:space="0"/>
              <w:bottom w:val="nil"/>
              <w:right w:val="nil"/>
            </w:tcBorders>
            <w:vAlign w:val="center"/>
          </w:tcPr>
          <w:p>
            <w:pPr>
              <w:jc w:val="center"/>
              <w:rPr>
                <w:rFonts w:hint="default" w:eastAsia="宋体"/>
                <w:b/>
                <w:lang w:val="en-US" w:eastAsia="zh-CN"/>
              </w:rPr>
            </w:pPr>
            <w:r>
              <w:rPr>
                <w:rFonts w:hint="eastAsia"/>
                <w:b/>
                <w:lang w:val="en-US" w:eastAsia="zh-CN"/>
              </w:rPr>
              <w:t>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正餐服务</w:t>
            </w:r>
          </w:p>
        </w:tc>
        <w:tc>
          <w:tcPr>
            <w:tcW w:w="2659" w:type="dxa"/>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3</w:t>
            </w:r>
          </w:p>
        </w:tc>
        <w:tc>
          <w:tcPr>
            <w:tcW w:w="1931" w:type="dxa"/>
            <w:tcBorders>
              <w:top w:val="nil"/>
              <w:left w:val="single" w:color="auto" w:sz="4" w:space="0"/>
              <w:bottom w:val="nil"/>
              <w:right w:val="nil"/>
            </w:tcBorders>
            <w:vAlign w:val="center"/>
          </w:tcPr>
          <w:p>
            <w:pPr>
              <w:jc w:val="center"/>
              <w:rPr>
                <w:rFonts w:hint="default" w:eastAsia="宋体"/>
                <w:lang w:val="en-US" w:eastAsia="zh-CN"/>
              </w:rPr>
            </w:pPr>
            <w:r>
              <w:rPr>
                <w:rFonts w:hint="eastAsia"/>
                <w:lang w:val="en-US" w:eastAsia="zh-CN"/>
              </w:rPr>
              <w:t>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快餐服务</w:t>
            </w:r>
          </w:p>
        </w:tc>
        <w:tc>
          <w:tcPr>
            <w:tcW w:w="2659" w:type="dxa"/>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931" w:type="dxa"/>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饮料及冷饮服务</w:t>
            </w:r>
          </w:p>
        </w:tc>
        <w:tc>
          <w:tcPr>
            <w:tcW w:w="2659" w:type="dxa"/>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931" w:type="dxa"/>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Cs w:val="21"/>
              </w:rPr>
            </w:pPr>
            <w:r>
              <w:rPr>
                <w:rFonts w:hint="eastAsia" w:ascii="宋体" w:hAnsi="宋体" w:cs="宋体"/>
                <w:kern w:val="0"/>
                <w:szCs w:val="21"/>
              </w:rPr>
              <w:t xml:space="preserve">    餐饮</w:t>
            </w:r>
            <w:r>
              <w:rPr>
                <w:rFonts w:ascii="宋体" w:hAnsi="宋体" w:cs="宋体"/>
                <w:kern w:val="0"/>
                <w:szCs w:val="21"/>
              </w:rPr>
              <w:t>配送及外卖送餐服务</w:t>
            </w:r>
          </w:p>
        </w:tc>
        <w:tc>
          <w:tcPr>
            <w:tcW w:w="2659" w:type="dxa"/>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931" w:type="dxa"/>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09"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其他餐饮业</w:t>
            </w:r>
          </w:p>
        </w:tc>
        <w:tc>
          <w:tcPr>
            <w:tcW w:w="2659" w:type="dxa"/>
            <w:tcBorders>
              <w:top w:val="nil"/>
              <w:left w:val="single" w:color="auto" w:sz="4" w:space="0"/>
              <w:bottom w:val="single" w:color="auto" w:sz="12" w:space="0"/>
              <w:right w:val="single" w:color="auto" w:sz="4" w:space="0"/>
            </w:tcBorders>
            <w:vAlign w:val="center"/>
          </w:tcPr>
          <w:p>
            <w:pPr>
              <w:jc w:val="center"/>
              <w:rPr>
                <w:rFonts w:hint="eastAsia" w:eastAsia="宋体"/>
                <w:lang w:val="en-US" w:eastAsia="zh-CN"/>
              </w:rPr>
            </w:pPr>
          </w:p>
        </w:tc>
        <w:tc>
          <w:tcPr>
            <w:tcW w:w="1931" w:type="dxa"/>
            <w:tcBorders>
              <w:top w:val="nil"/>
              <w:left w:val="single" w:color="auto" w:sz="4" w:space="0"/>
              <w:bottom w:val="single" w:color="auto" w:sz="12" w:space="0"/>
              <w:right w:val="nil"/>
            </w:tcBorders>
            <w:vAlign w:val="center"/>
          </w:tcPr>
          <w:p>
            <w:pPr>
              <w:jc w:val="center"/>
              <w:rPr>
                <w:rFonts w:hint="eastAsia" w:eastAsia="宋体"/>
                <w:lang w:val="en-US" w:eastAsia="zh-CN"/>
              </w:rPr>
            </w:pP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在住宿和餐饮业企业法人单位中，内资企业占</w:t>
      </w:r>
      <w:r>
        <w:rPr>
          <w:rFonts w:hint="eastAsia" w:ascii="Microsoft YaHei UI" w:hAnsi="Microsoft YaHei UI" w:eastAsia="Microsoft YaHei UI" w:cs="Microsoft YaHei UI"/>
          <w:b w:val="0"/>
          <w:i w:val="0"/>
          <w:caps w:val="0"/>
          <w:color w:val="auto"/>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r>
        <w:rPr>
          <w:rFonts w:hint="eastAsia" w:ascii="Microsoft YaHei UI" w:hAnsi="Microsoft YaHei UI" w:eastAsia="Microsoft YaHei UI" w:cs="Microsoft YaHei UI"/>
          <w:b w:val="0"/>
          <w:i w:val="0"/>
          <w:caps w:val="0"/>
          <w:color w:val="333333"/>
          <w:spacing w:val="8"/>
          <w:sz w:val="25"/>
          <w:szCs w:val="25"/>
          <w:shd w:val="clear" w:color="080000" w:fill="FFFFFF"/>
        </w:rPr>
        <w:t>在住宿和餐饮业企业法人单位从业人员中，内资企业占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%（详见表4-8）。</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tbl>
      <w:tblPr>
        <w:tblStyle w:val="7"/>
        <w:tblW w:w="830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09"/>
        <w:gridCol w:w="1"/>
        <w:gridCol w:w="2656"/>
        <w:gridCol w:w="1"/>
        <w:gridCol w:w="1932"/>
        <w:gridCol w:w="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8306" w:type="dxa"/>
            <w:gridSpan w:val="6"/>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4-8</w:t>
            </w:r>
            <w:r>
              <w:rPr>
                <w:rFonts w:hint="eastAsia" w:ascii="宋体" w:hAnsi="宋体" w:cs="宋体"/>
                <w:b/>
                <w:bCs/>
                <w:kern w:val="0"/>
                <w:sz w:val="24"/>
              </w:rPr>
              <w:t>　按登记注册类型分组的住宿和餐饮业企业法人单位和从业人员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3716"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p>
        </w:tc>
        <w:tc>
          <w:tcPr>
            <w:tcW w:w="2657"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企业法人单位</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（个）</w:t>
            </w:r>
          </w:p>
        </w:tc>
        <w:tc>
          <w:tcPr>
            <w:tcW w:w="1933"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从业人员</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657" w:type="dxa"/>
            <w:gridSpan w:val="2"/>
            <w:tcBorders>
              <w:top w:val="single" w:color="auto" w:sz="4" w:space="0"/>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12</w:t>
            </w:r>
          </w:p>
        </w:tc>
        <w:tc>
          <w:tcPr>
            <w:tcW w:w="1933" w:type="dxa"/>
            <w:gridSpan w:val="2"/>
            <w:tcBorders>
              <w:top w:val="single" w:color="auto" w:sz="4" w:space="0"/>
              <w:left w:val="single" w:color="auto" w:sz="4" w:space="0"/>
              <w:bottom w:val="nil"/>
              <w:right w:val="nil"/>
            </w:tcBorders>
            <w:vAlign w:val="center"/>
          </w:tcPr>
          <w:p>
            <w:pPr>
              <w:jc w:val="center"/>
              <w:rPr>
                <w:rFonts w:hint="eastAsia" w:eastAsia="宋体"/>
                <w:b/>
                <w:lang w:val="en-US" w:eastAsia="zh-CN"/>
              </w:rPr>
            </w:pPr>
            <w:r>
              <w:rPr>
                <w:rFonts w:hint="eastAsia"/>
                <w:b/>
                <w:lang w:val="en-US" w:eastAsia="zh-CN"/>
              </w:rPr>
              <w:t>406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内资企业</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12</w:t>
            </w:r>
          </w:p>
        </w:tc>
        <w:tc>
          <w:tcPr>
            <w:tcW w:w="1933" w:type="dxa"/>
            <w:gridSpan w:val="2"/>
            <w:tcBorders>
              <w:top w:val="nil"/>
              <w:left w:val="single" w:color="auto" w:sz="4" w:space="0"/>
              <w:bottom w:val="nil"/>
              <w:right w:val="nil"/>
            </w:tcBorders>
            <w:vAlign w:val="center"/>
          </w:tcPr>
          <w:p>
            <w:pPr>
              <w:jc w:val="center"/>
              <w:rPr>
                <w:rFonts w:hint="eastAsia" w:eastAsia="宋体"/>
                <w:b/>
                <w:lang w:val="en-US" w:eastAsia="zh-CN"/>
              </w:rPr>
            </w:pPr>
            <w:r>
              <w:rPr>
                <w:rFonts w:hint="eastAsia"/>
                <w:b/>
                <w:lang w:val="en-US" w:eastAsia="zh-CN"/>
              </w:rPr>
              <w:t>406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国有企业</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w:t>
            </w:r>
          </w:p>
        </w:tc>
        <w:tc>
          <w:tcPr>
            <w:tcW w:w="1933"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62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集体企业</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933"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股份合作企业</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w:t>
            </w:r>
          </w:p>
        </w:tc>
        <w:tc>
          <w:tcPr>
            <w:tcW w:w="1933"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联营企业</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933"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有限责任公司</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2</w:t>
            </w:r>
          </w:p>
        </w:tc>
        <w:tc>
          <w:tcPr>
            <w:tcW w:w="1933"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股份有限公司</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933"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私营企业</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5</w:t>
            </w:r>
          </w:p>
        </w:tc>
        <w:tc>
          <w:tcPr>
            <w:tcW w:w="1933"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224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其他企业</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2</w:t>
            </w:r>
          </w:p>
        </w:tc>
        <w:tc>
          <w:tcPr>
            <w:tcW w:w="1933"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港、澳、台商投资企业</w:t>
            </w:r>
          </w:p>
        </w:tc>
        <w:tc>
          <w:tcPr>
            <w:tcW w:w="2657" w:type="dxa"/>
            <w:gridSpan w:val="2"/>
            <w:tcBorders>
              <w:top w:val="nil"/>
              <w:left w:val="single" w:color="auto" w:sz="4" w:space="0"/>
              <w:bottom w:val="nil"/>
              <w:right w:val="single" w:color="auto" w:sz="4" w:space="0"/>
            </w:tcBorders>
            <w:vAlign w:val="center"/>
          </w:tcPr>
          <w:p>
            <w:pPr>
              <w:jc w:val="center"/>
              <w:rPr>
                <w:rFonts w:hint="eastAsia" w:eastAsia="宋体"/>
                <w:b/>
                <w:lang w:val="en-US" w:eastAsia="zh-CN"/>
              </w:rPr>
            </w:pPr>
          </w:p>
        </w:tc>
        <w:tc>
          <w:tcPr>
            <w:tcW w:w="1933" w:type="dxa"/>
            <w:gridSpan w:val="2"/>
            <w:tcBorders>
              <w:top w:val="nil"/>
              <w:left w:val="single" w:color="auto" w:sz="4" w:space="0"/>
              <w:bottom w:val="nil"/>
              <w:right w:val="nil"/>
            </w:tcBorders>
            <w:vAlign w:val="center"/>
          </w:tcPr>
          <w:p>
            <w:pPr>
              <w:jc w:val="center"/>
              <w:rPr>
                <w:rFonts w:hint="eastAsia" w:eastAsia="宋体"/>
                <w:b/>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外商投资企业</w:t>
            </w:r>
          </w:p>
        </w:tc>
        <w:tc>
          <w:tcPr>
            <w:tcW w:w="2657" w:type="dxa"/>
            <w:gridSpan w:val="2"/>
            <w:tcBorders>
              <w:top w:val="nil"/>
              <w:left w:val="single" w:color="auto" w:sz="4" w:space="0"/>
              <w:bottom w:val="single" w:color="auto" w:sz="12" w:space="0"/>
              <w:right w:val="single" w:color="auto" w:sz="4" w:space="0"/>
            </w:tcBorders>
            <w:vAlign w:val="center"/>
          </w:tcPr>
          <w:p>
            <w:pPr>
              <w:jc w:val="center"/>
              <w:rPr>
                <w:rFonts w:hint="eastAsia" w:eastAsia="宋体"/>
                <w:b/>
                <w:lang w:val="en-US" w:eastAsia="zh-CN"/>
              </w:rPr>
            </w:pPr>
          </w:p>
        </w:tc>
        <w:tc>
          <w:tcPr>
            <w:tcW w:w="1933" w:type="dxa"/>
            <w:gridSpan w:val="2"/>
            <w:tcBorders>
              <w:top w:val="nil"/>
              <w:left w:val="single" w:color="auto" w:sz="4" w:space="0"/>
              <w:bottom w:val="single" w:color="auto" w:sz="12" w:space="0"/>
              <w:right w:val="nil"/>
            </w:tcBorders>
            <w:vAlign w:val="center"/>
          </w:tcPr>
          <w:p>
            <w:pPr>
              <w:jc w:val="center"/>
              <w:rPr>
                <w:rFonts w:hint="eastAsia" w:eastAsia="宋体"/>
                <w:b/>
                <w:lang w:val="en-US" w:eastAsia="zh-CN"/>
              </w:rPr>
            </w:pP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both"/>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2018年末，住宿和餐饮业企业法人单位资产总计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14271.9万</w:t>
      </w:r>
      <w:r>
        <w:rPr>
          <w:rFonts w:hint="eastAsia" w:ascii="Microsoft YaHei UI" w:hAnsi="Microsoft YaHei UI" w:eastAsia="Microsoft YaHei UI" w:cs="Microsoft YaHei UI"/>
          <w:b w:val="0"/>
          <w:i w:val="0"/>
          <w:caps w:val="0"/>
          <w:color w:val="333333"/>
          <w:spacing w:val="8"/>
          <w:sz w:val="25"/>
          <w:szCs w:val="25"/>
          <w:shd w:val="clear" w:color="080000" w:fill="FFFFFF"/>
        </w:rPr>
        <w:t>元，比2013年末增长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66.28</w:t>
      </w:r>
      <w:r>
        <w:rPr>
          <w:rFonts w:hint="eastAsia" w:ascii="Microsoft YaHei UI" w:hAnsi="Microsoft YaHei UI" w:eastAsia="Microsoft YaHei UI" w:cs="Microsoft YaHei UI"/>
          <w:b w:val="0"/>
          <w:i w:val="0"/>
          <w:caps w:val="0"/>
          <w:color w:val="333333"/>
          <w:spacing w:val="8"/>
          <w:sz w:val="25"/>
          <w:szCs w:val="25"/>
          <w:shd w:val="clear" w:color="080000" w:fill="FFFFFF"/>
        </w:rPr>
        <w:t>%。其中，住宿业企业法人单位资产总计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13414.3万</w:t>
      </w:r>
      <w:r>
        <w:rPr>
          <w:rFonts w:hint="eastAsia" w:ascii="Microsoft YaHei UI" w:hAnsi="Microsoft YaHei UI" w:eastAsia="Microsoft YaHei UI" w:cs="Microsoft YaHei UI"/>
          <w:b w:val="0"/>
          <w:i w:val="0"/>
          <w:caps w:val="0"/>
          <w:color w:val="333333"/>
          <w:spacing w:val="8"/>
          <w:sz w:val="25"/>
          <w:szCs w:val="25"/>
          <w:shd w:val="clear" w:color="080000" w:fill="FFFFFF"/>
        </w:rPr>
        <w:t>元，餐饮业企业法人单位资产总计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857.6万</w:t>
      </w:r>
      <w:r>
        <w:rPr>
          <w:rFonts w:hint="eastAsia" w:ascii="Microsoft YaHei UI" w:hAnsi="Microsoft YaHei UI" w:eastAsia="Microsoft YaHei UI" w:cs="Microsoft YaHei UI"/>
          <w:b w:val="0"/>
          <w:i w:val="0"/>
          <w:caps w:val="0"/>
          <w:color w:val="333333"/>
          <w:spacing w:val="8"/>
          <w:sz w:val="25"/>
          <w:szCs w:val="25"/>
          <w:shd w:val="clear" w:color="080000" w:fill="FFFFFF"/>
        </w:rPr>
        <w:t>元，分别比2013年末增长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119.67</w:t>
      </w:r>
      <w:r>
        <w:rPr>
          <w:rFonts w:hint="eastAsia" w:ascii="Microsoft YaHei UI" w:hAnsi="Microsoft YaHei UI" w:eastAsia="Microsoft YaHei UI" w:cs="Microsoft YaHei UI"/>
          <w:b w:val="0"/>
          <w:i w:val="0"/>
          <w:caps w:val="0"/>
          <w:color w:val="333333"/>
          <w:spacing w:val="8"/>
          <w:sz w:val="25"/>
          <w:szCs w:val="25"/>
          <w:shd w:val="clear" w:color="080000" w:fill="FFFFFF"/>
        </w:rPr>
        <w:t>%和下降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69.23</w:t>
      </w:r>
      <w:r>
        <w:rPr>
          <w:rFonts w:hint="eastAsia" w:ascii="Microsoft YaHei UI" w:hAnsi="Microsoft YaHei UI" w:eastAsia="Microsoft YaHei UI" w:cs="Microsoft YaHei UI"/>
          <w:b w:val="0"/>
          <w:i w:val="0"/>
          <w:caps w:val="0"/>
          <w:color w:val="333333"/>
          <w:spacing w:val="8"/>
          <w:sz w:val="25"/>
          <w:szCs w:val="25"/>
          <w:shd w:val="clear" w:color="080000" w:fill="FFFFFF"/>
        </w:rPr>
        <w:t>%。负债合计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12483.8万</w:t>
      </w:r>
      <w:r>
        <w:rPr>
          <w:rFonts w:hint="eastAsia" w:ascii="Microsoft YaHei UI" w:hAnsi="Microsoft YaHei UI" w:eastAsia="Microsoft YaHei UI" w:cs="Microsoft YaHei UI"/>
          <w:b w:val="0"/>
          <w:i w:val="0"/>
          <w:caps w:val="0"/>
          <w:color w:val="333333"/>
          <w:spacing w:val="8"/>
          <w:sz w:val="25"/>
          <w:szCs w:val="25"/>
          <w:shd w:val="clear" w:color="080000" w:fill="FFFFFF"/>
        </w:rPr>
        <w:t>元。全年实现年营业收入</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4064.3万</w:t>
      </w:r>
      <w:r>
        <w:rPr>
          <w:rFonts w:hint="eastAsia" w:ascii="Microsoft YaHei UI" w:hAnsi="Microsoft YaHei UI" w:eastAsia="Microsoft YaHei UI" w:cs="Microsoft YaHei UI"/>
          <w:b w:val="0"/>
          <w:i w:val="0"/>
          <w:caps w:val="0"/>
          <w:color w:val="333333"/>
          <w:spacing w:val="8"/>
          <w:sz w:val="25"/>
          <w:szCs w:val="25"/>
          <w:shd w:val="clear" w:color="080000" w:fill="FFFFFF"/>
        </w:rPr>
        <w:t>元（详见表4-9）。</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675"/>
        <w:gridCol w:w="7"/>
        <w:gridCol w:w="1532"/>
        <w:gridCol w:w="7"/>
        <w:gridCol w:w="1532"/>
        <w:gridCol w:w="7"/>
        <w:gridCol w:w="1532"/>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8299" w:type="dxa"/>
            <w:gridSpan w:val="8"/>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表</w:t>
            </w:r>
            <w:r>
              <w:rPr>
                <w:b/>
                <w:bCs/>
                <w:kern w:val="0"/>
                <w:sz w:val="24"/>
              </w:rPr>
              <w:t>4-9</w:t>
            </w:r>
            <w:r>
              <w:rPr>
                <w:rFonts w:hint="eastAsia" w:ascii="宋体" w:hAnsi="宋体" w:cs="宋体"/>
                <w:b/>
                <w:bCs/>
                <w:kern w:val="0"/>
                <w:sz w:val="24"/>
              </w:rPr>
              <w:t>　按行业中类分组的住宿和餐饮业企业法人单位主要经济</w:t>
            </w:r>
            <w:r>
              <w:rPr>
                <w:rFonts w:ascii="宋体" w:hAnsi="宋体" w:cs="宋体"/>
                <w:b/>
                <w:bCs/>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3682" w:type="dxa"/>
            <w:gridSpan w:val="2"/>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cs="宋体"/>
                <w:b/>
                <w:kern w:val="0"/>
                <w:sz w:val="18"/>
                <w:szCs w:val="18"/>
              </w:rPr>
            </w:pPr>
            <w:r>
              <w:rPr>
                <w:rFonts w:hint="eastAsia" w:ascii="宋体" w:hAnsi="宋体" w:cs="宋体"/>
                <w:b/>
                <w:kern w:val="0"/>
                <w:szCs w:val="21"/>
              </w:rPr>
              <w:t>　</w:t>
            </w: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w:t>
            </w:r>
            <w:r>
              <w:rPr>
                <w:rFonts w:ascii="宋体" w:hAnsi="宋体" w:cs="宋体"/>
                <w:b/>
                <w:kern w:val="0"/>
                <w:szCs w:val="21"/>
              </w:rPr>
              <w:t>总计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营业收入</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539" w:type="dxa"/>
            <w:gridSpan w:val="2"/>
            <w:tcBorders>
              <w:top w:val="single" w:color="auto" w:sz="4" w:space="0"/>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14271.9</w:t>
            </w:r>
          </w:p>
        </w:tc>
        <w:tc>
          <w:tcPr>
            <w:tcW w:w="1539" w:type="dxa"/>
            <w:gridSpan w:val="2"/>
            <w:tcBorders>
              <w:top w:val="single" w:color="auto" w:sz="4" w:space="0"/>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12483.8</w:t>
            </w:r>
          </w:p>
        </w:tc>
        <w:tc>
          <w:tcPr>
            <w:tcW w:w="1539" w:type="dxa"/>
            <w:gridSpan w:val="2"/>
            <w:tcBorders>
              <w:top w:val="single" w:color="auto" w:sz="4" w:space="0"/>
              <w:left w:val="single" w:color="auto" w:sz="4" w:space="0"/>
              <w:bottom w:val="nil"/>
              <w:right w:val="nil"/>
            </w:tcBorders>
            <w:vAlign w:val="center"/>
          </w:tcPr>
          <w:p>
            <w:pPr>
              <w:jc w:val="center"/>
              <w:rPr>
                <w:rFonts w:hint="eastAsia" w:eastAsia="宋体"/>
                <w:b/>
                <w:lang w:val="en-US" w:eastAsia="zh-CN"/>
              </w:rPr>
            </w:pPr>
            <w:r>
              <w:rPr>
                <w:rFonts w:hint="eastAsia"/>
                <w:b/>
                <w:lang w:val="en-US" w:eastAsia="zh-CN"/>
              </w:rPr>
              <w:t>4064.3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pPr>
              <w:rPr>
                <w:b/>
              </w:rPr>
            </w:pPr>
            <w:r>
              <w:rPr>
                <w:rFonts w:hint="eastAsia" w:ascii="宋体" w:hAnsi="宋体" w:cs="宋体"/>
                <w:b/>
                <w:kern w:val="0"/>
                <w:szCs w:val="21"/>
              </w:rPr>
              <w:t>住宿业</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13414.3</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11890.6</w:t>
            </w:r>
          </w:p>
        </w:tc>
        <w:tc>
          <w:tcPr>
            <w:tcW w:w="1539" w:type="dxa"/>
            <w:gridSpan w:val="2"/>
            <w:tcBorders>
              <w:top w:val="nil"/>
              <w:left w:val="single" w:color="auto" w:sz="4" w:space="0"/>
              <w:bottom w:val="nil"/>
              <w:right w:val="nil"/>
            </w:tcBorders>
            <w:vAlign w:val="center"/>
          </w:tcPr>
          <w:p>
            <w:pPr>
              <w:jc w:val="center"/>
              <w:rPr>
                <w:rFonts w:hint="eastAsia" w:eastAsia="宋体"/>
                <w:b/>
                <w:lang w:val="en-US" w:eastAsia="zh-CN"/>
              </w:rPr>
            </w:pPr>
            <w:r>
              <w:rPr>
                <w:rFonts w:hint="eastAsia"/>
                <w:b/>
                <w:lang w:val="en-US" w:eastAsia="zh-CN"/>
              </w:rPr>
              <w:t>3895.1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旅游饭店</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10680.3</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10801</w:t>
            </w:r>
          </w:p>
        </w:tc>
        <w:tc>
          <w:tcPr>
            <w:tcW w:w="1539"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2979.7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一般旅馆</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595.6</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6030</w:t>
            </w:r>
          </w:p>
        </w:tc>
        <w:tc>
          <w:tcPr>
            <w:tcW w:w="1539"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252.2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xml:space="preserve">    民宿</w:t>
            </w:r>
            <w:r>
              <w:rPr>
                <w:rFonts w:ascii="宋体" w:hAnsi="宋体" w:cs="宋体"/>
                <w:kern w:val="0"/>
                <w:szCs w:val="21"/>
              </w:rPr>
              <w:t>服务</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w:t>
            </w:r>
          </w:p>
        </w:tc>
        <w:tc>
          <w:tcPr>
            <w:tcW w:w="1539"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xml:space="preserve">    露营地</w:t>
            </w:r>
            <w:r>
              <w:rPr>
                <w:rFonts w:ascii="宋体" w:hAnsi="宋体" w:cs="宋体"/>
                <w:kern w:val="0"/>
                <w:szCs w:val="21"/>
              </w:rPr>
              <w:t>服务</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其他住宿业</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w:t>
            </w:r>
          </w:p>
        </w:tc>
        <w:tc>
          <w:tcPr>
            <w:tcW w:w="1539"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pPr>
              <w:rPr>
                <w:b/>
              </w:rPr>
            </w:pPr>
            <w:r>
              <w:rPr>
                <w:rFonts w:hint="eastAsia" w:ascii="宋体" w:hAnsi="宋体" w:cs="宋体"/>
                <w:b/>
                <w:kern w:val="0"/>
                <w:szCs w:val="21"/>
              </w:rPr>
              <w:t>餐饮业</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857.6</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b/>
                <w:lang w:val="en-US" w:eastAsia="zh-CN"/>
              </w:rPr>
            </w:pPr>
            <w:r>
              <w:rPr>
                <w:rFonts w:hint="eastAsia"/>
                <w:b/>
                <w:lang w:val="en-US" w:eastAsia="zh-CN"/>
              </w:rPr>
              <w:t>593.2</w:t>
            </w:r>
          </w:p>
        </w:tc>
        <w:tc>
          <w:tcPr>
            <w:tcW w:w="1539" w:type="dxa"/>
            <w:gridSpan w:val="2"/>
            <w:tcBorders>
              <w:top w:val="nil"/>
              <w:left w:val="single" w:color="auto" w:sz="4" w:space="0"/>
              <w:bottom w:val="nil"/>
              <w:right w:val="nil"/>
            </w:tcBorders>
            <w:vAlign w:val="center"/>
          </w:tcPr>
          <w:p>
            <w:pPr>
              <w:jc w:val="center"/>
              <w:rPr>
                <w:rFonts w:hint="eastAsia" w:eastAsia="宋体"/>
                <w:b/>
                <w:lang w:val="en-US" w:eastAsia="zh-CN"/>
              </w:rPr>
            </w:pPr>
            <w:r>
              <w:rPr>
                <w:rFonts w:hint="eastAsia"/>
                <w:b/>
                <w:lang w:val="en-US" w:eastAsia="zh-CN"/>
              </w:rPr>
              <w:t>169.2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正餐服务</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857.6</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r>
              <w:rPr>
                <w:rFonts w:hint="eastAsia"/>
                <w:lang w:val="en-US" w:eastAsia="zh-CN"/>
              </w:rPr>
              <w:t>593.2</w:t>
            </w:r>
          </w:p>
        </w:tc>
        <w:tc>
          <w:tcPr>
            <w:tcW w:w="1539" w:type="dxa"/>
            <w:gridSpan w:val="2"/>
            <w:tcBorders>
              <w:top w:val="nil"/>
              <w:left w:val="single" w:color="auto" w:sz="4" w:space="0"/>
              <w:bottom w:val="nil"/>
              <w:right w:val="nil"/>
            </w:tcBorders>
            <w:vAlign w:val="center"/>
          </w:tcPr>
          <w:p>
            <w:pPr>
              <w:jc w:val="center"/>
              <w:rPr>
                <w:rFonts w:hint="eastAsia" w:eastAsia="宋体"/>
                <w:lang w:val="en-US" w:eastAsia="zh-CN"/>
              </w:rPr>
            </w:pPr>
            <w:r>
              <w:rPr>
                <w:rFonts w:hint="eastAsia"/>
                <w:lang w:val="en-US" w:eastAsia="zh-CN"/>
              </w:rPr>
              <w:t>169.2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快餐服务</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饮料及冷饮服务</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xml:space="preserve">    餐饮</w:t>
            </w:r>
            <w:r>
              <w:rPr>
                <w:rFonts w:ascii="宋体" w:hAnsi="宋体" w:cs="宋体"/>
                <w:kern w:val="0"/>
                <w:szCs w:val="21"/>
              </w:rPr>
              <w:t>配送及外卖送餐服务</w:t>
            </w: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nil"/>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nil"/>
              <w:right w:val="nil"/>
            </w:tcBorders>
            <w:vAlign w:val="center"/>
          </w:tcPr>
          <w:p>
            <w:pPr>
              <w:jc w:val="center"/>
              <w:rPr>
                <w:rFonts w:hint="eastAsia" w:eastAsia="宋体"/>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single" w:color="auto" w:sz="12" w:space="0"/>
              <w:right w:val="single" w:color="auto" w:sz="4" w:space="0"/>
            </w:tcBorders>
            <w:vAlign w:val="top"/>
          </w:tcPr>
          <w:p>
            <w:r>
              <w:rPr>
                <w:rFonts w:hint="eastAsia"/>
              </w:rPr>
              <w:t xml:space="preserve">　  </w:t>
            </w:r>
            <w:r>
              <w:rPr>
                <w:rFonts w:hint="eastAsia" w:ascii="宋体" w:hAnsi="宋体" w:cs="宋体"/>
                <w:kern w:val="0"/>
                <w:szCs w:val="21"/>
              </w:rPr>
              <w:t>其他餐饮业</w:t>
            </w:r>
          </w:p>
        </w:tc>
        <w:tc>
          <w:tcPr>
            <w:tcW w:w="1539" w:type="dxa"/>
            <w:gridSpan w:val="2"/>
            <w:tcBorders>
              <w:top w:val="nil"/>
              <w:left w:val="single" w:color="auto" w:sz="4" w:space="0"/>
              <w:bottom w:val="single" w:color="auto" w:sz="12" w:space="0"/>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single" w:color="auto" w:sz="12" w:space="0"/>
              <w:right w:val="single" w:color="auto" w:sz="4" w:space="0"/>
            </w:tcBorders>
            <w:vAlign w:val="center"/>
          </w:tcPr>
          <w:p>
            <w:pPr>
              <w:jc w:val="center"/>
              <w:rPr>
                <w:rFonts w:hint="eastAsia" w:eastAsia="宋体"/>
                <w:lang w:val="en-US" w:eastAsia="zh-CN"/>
              </w:rPr>
            </w:pPr>
          </w:p>
        </w:tc>
        <w:tc>
          <w:tcPr>
            <w:tcW w:w="1539" w:type="dxa"/>
            <w:gridSpan w:val="2"/>
            <w:tcBorders>
              <w:top w:val="nil"/>
              <w:left w:val="single" w:color="auto" w:sz="4" w:space="0"/>
              <w:bottom w:val="single" w:color="auto" w:sz="12" w:space="0"/>
              <w:right w:val="nil"/>
            </w:tcBorders>
            <w:vAlign w:val="center"/>
          </w:tcPr>
          <w:p>
            <w:pPr>
              <w:jc w:val="center"/>
              <w:rPr>
                <w:rFonts w:hint="eastAsia" w:eastAsia="宋体"/>
                <w:lang w:val="en-US" w:eastAsia="zh-CN"/>
              </w:rPr>
            </w:pP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textAlignment w:val="baseline"/>
        <w:rPr>
          <w:rFonts w:hint="eastAsia" w:ascii="黑体" w:hAnsi="宋体" w:eastAsia="黑体" w:cs="黑体"/>
          <w:b w:val="0"/>
          <w:i w:val="0"/>
          <w:caps w:val="0"/>
          <w:color w:val="333333"/>
          <w:spacing w:val="8"/>
          <w:sz w:val="25"/>
          <w:szCs w:val="25"/>
          <w:shd w:val="clear" w:color="080000" w:fill="FFFFFF"/>
        </w:rPr>
      </w:pP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黑体" w:hAnsi="宋体" w:eastAsia="黑体" w:cs="黑体"/>
          <w:b w:val="0"/>
          <w:i w:val="0"/>
          <w:caps w:val="0"/>
          <w:color w:val="333333"/>
          <w:spacing w:val="8"/>
          <w:sz w:val="25"/>
          <w:szCs w:val="25"/>
          <w:shd w:val="clear" w:color="080000" w:fill="FFFFFF"/>
        </w:rPr>
        <w:t>四、信息传输、软件和信息技术服务业</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（一）企业法人单位数和从业人员。</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2018年末，我</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县</w:t>
      </w:r>
      <w:r>
        <w:rPr>
          <w:rFonts w:hint="eastAsia" w:ascii="Microsoft YaHei UI" w:hAnsi="Microsoft YaHei UI" w:eastAsia="Microsoft YaHei UI" w:cs="Microsoft YaHei UI"/>
          <w:b w:val="0"/>
          <w:i w:val="0"/>
          <w:caps w:val="0"/>
          <w:color w:val="333333"/>
          <w:spacing w:val="8"/>
          <w:sz w:val="25"/>
          <w:szCs w:val="25"/>
          <w:shd w:val="clear" w:color="080000" w:fill="FFFFFF"/>
        </w:rPr>
        <w:t>共有信息传输、软件和信息技术服务业企业法人单位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8</w:t>
      </w:r>
      <w:r>
        <w:rPr>
          <w:rFonts w:hint="eastAsia" w:ascii="Microsoft YaHei UI" w:hAnsi="Microsoft YaHei UI" w:eastAsia="Microsoft YaHei UI" w:cs="Microsoft YaHei UI"/>
          <w:b w:val="0"/>
          <w:i w:val="0"/>
          <w:caps w:val="0"/>
          <w:color w:val="333333"/>
          <w:spacing w:val="8"/>
          <w:sz w:val="25"/>
          <w:szCs w:val="25"/>
          <w:shd w:val="clear" w:color="080000" w:fill="FFFFFF"/>
        </w:rPr>
        <w:t>个，从业人员</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37</w:t>
      </w:r>
      <w:r>
        <w:rPr>
          <w:rFonts w:hint="eastAsia" w:ascii="Microsoft YaHei UI" w:hAnsi="Microsoft YaHei UI" w:eastAsia="Microsoft YaHei UI" w:cs="Microsoft YaHei UI"/>
          <w:b w:val="0"/>
          <w:i w:val="0"/>
          <w:caps w:val="0"/>
          <w:color w:val="333333"/>
          <w:spacing w:val="8"/>
          <w:sz w:val="25"/>
          <w:szCs w:val="25"/>
          <w:shd w:val="clear" w:color="080000" w:fill="FFFFFF"/>
        </w:rPr>
        <w:t>人，分别比2013年末增长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%和</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%（详见表4-10）。</w:t>
      </w:r>
    </w:p>
    <w:tbl>
      <w:tblPr>
        <w:tblStyle w:val="7"/>
        <w:tblW w:w="830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09"/>
        <w:gridCol w:w="1"/>
        <w:gridCol w:w="2658"/>
        <w:gridCol w:w="1"/>
        <w:gridCol w:w="1930"/>
        <w:gridCol w:w="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850" w:hRule="atLeast"/>
          <w:jc w:val="center"/>
        </w:trPr>
        <w:tc>
          <w:tcPr>
            <w:tcW w:w="8306" w:type="dxa"/>
            <w:gridSpan w:val="6"/>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表</w:t>
            </w:r>
            <w:r>
              <w:rPr>
                <w:b/>
                <w:bCs/>
                <w:kern w:val="0"/>
                <w:sz w:val="24"/>
              </w:rPr>
              <w:t>4-10</w:t>
            </w:r>
            <w:r>
              <w:rPr>
                <w:rFonts w:hint="eastAsia" w:ascii="宋体" w:hAnsi="宋体" w:cs="宋体"/>
                <w:b/>
                <w:bCs/>
                <w:kern w:val="0"/>
                <w:sz w:val="24"/>
              </w:rPr>
              <w:t>　按行业大类分组的信息传输、软件和信息技术服务业</w:t>
            </w:r>
          </w:p>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3716"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　</w:t>
            </w:r>
          </w:p>
        </w:tc>
        <w:tc>
          <w:tcPr>
            <w:tcW w:w="265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（个）</w:t>
            </w:r>
          </w:p>
        </w:tc>
        <w:tc>
          <w:tcPr>
            <w:tcW w:w="1931"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659" w:type="dxa"/>
            <w:gridSpan w:val="2"/>
            <w:tcBorders>
              <w:top w:val="single" w:color="auto" w:sz="4" w:space="0"/>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8</w:t>
            </w:r>
          </w:p>
        </w:tc>
        <w:tc>
          <w:tcPr>
            <w:tcW w:w="1931" w:type="dxa"/>
            <w:gridSpan w:val="2"/>
            <w:tcBorders>
              <w:top w:val="single" w:color="auto" w:sz="4" w:space="0"/>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r>
              <w:rPr>
                <w:rFonts w:hint="eastAsia" w:ascii="宋体" w:hAnsi="宋体" w:cs="宋体"/>
                <w:kern w:val="0"/>
                <w:szCs w:val="21"/>
              </w:rPr>
              <w:t>　电信、广播电视和卫星传输服务</w:t>
            </w:r>
          </w:p>
        </w:tc>
        <w:tc>
          <w:tcPr>
            <w:tcW w:w="2659" w:type="dxa"/>
            <w:gridSpan w:val="2"/>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931" w:type="dxa"/>
            <w:gridSpan w:val="2"/>
            <w:tcBorders>
              <w:top w:val="nil"/>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nil"/>
              <w:right w:val="single" w:color="auto" w:sz="4" w:space="0"/>
            </w:tcBorders>
            <w:vAlign w:val="center"/>
          </w:tcPr>
          <w:p>
            <w:r>
              <w:rPr>
                <w:rFonts w:hint="eastAsia" w:ascii="宋体" w:hAnsi="宋体" w:cs="宋体"/>
                <w:kern w:val="0"/>
                <w:szCs w:val="21"/>
              </w:rPr>
              <w:t>　互联网和相关服务</w:t>
            </w:r>
          </w:p>
        </w:tc>
        <w:tc>
          <w:tcPr>
            <w:tcW w:w="2659" w:type="dxa"/>
            <w:gridSpan w:val="2"/>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931" w:type="dxa"/>
            <w:gridSpan w:val="2"/>
            <w:tcBorders>
              <w:top w:val="nil"/>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gridSpan w:val="2"/>
            <w:tcBorders>
              <w:top w:val="nil"/>
              <w:left w:val="nil"/>
              <w:bottom w:val="single" w:color="auto" w:sz="12" w:space="0"/>
              <w:right w:val="single" w:color="auto" w:sz="4" w:space="0"/>
            </w:tcBorders>
            <w:vAlign w:val="center"/>
          </w:tcPr>
          <w:p>
            <w:pPr>
              <w:widowControl/>
              <w:spacing w:line="240" w:lineRule="atLeast"/>
              <w:ind w:right="57" w:firstLine="210" w:firstLineChars="100"/>
              <w:rPr>
                <w:rFonts w:ascii="宋体" w:hAnsi="宋体" w:cs="宋体"/>
                <w:kern w:val="0"/>
                <w:sz w:val="18"/>
                <w:szCs w:val="18"/>
              </w:rPr>
            </w:pPr>
            <w:r>
              <w:rPr>
                <w:rFonts w:hint="eastAsia" w:ascii="宋体" w:hAnsi="宋体" w:cs="宋体"/>
                <w:kern w:val="0"/>
                <w:szCs w:val="21"/>
              </w:rPr>
              <w:t>软件和信息技术服务业</w:t>
            </w:r>
          </w:p>
        </w:tc>
        <w:tc>
          <w:tcPr>
            <w:tcW w:w="2659" w:type="dxa"/>
            <w:gridSpan w:val="2"/>
            <w:tcBorders>
              <w:top w:val="nil"/>
              <w:left w:val="single" w:color="auto" w:sz="4" w:space="0"/>
              <w:bottom w:val="single" w:color="auto" w:sz="12" w:space="0"/>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931" w:type="dxa"/>
            <w:gridSpan w:val="2"/>
            <w:tcBorders>
              <w:top w:val="nil"/>
              <w:left w:val="single" w:color="auto" w:sz="4" w:space="0"/>
              <w:bottom w:val="single" w:color="auto" w:sz="12" w:space="0"/>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在信息传输、软件和信息技术服务业企业法人单位中，内资企业占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在信息传输、软件和信息技术服务业企业法人单位从业人员中，内资企业占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%（详见表4-11）。</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710"/>
        <w:gridCol w:w="2657"/>
        <w:gridCol w:w="19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表</w:t>
            </w:r>
            <w:r>
              <w:rPr>
                <w:b/>
                <w:bCs/>
                <w:kern w:val="0"/>
                <w:sz w:val="24"/>
              </w:rPr>
              <w:t>4-11</w:t>
            </w:r>
            <w:r>
              <w:rPr>
                <w:rFonts w:hint="eastAsia" w:ascii="宋体" w:hAnsi="宋体" w:cs="宋体"/>
                <w:b/>
                <w:bCs/>
                <w:kern w:val="0"/>
                <w:sz w:val="24"/>
              </w:rPr>
              <w:t>　按登记注册类型分组的信息传输、软件和信息技术服务业</w:t>
            </w:r>
          </w:p>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17" w:type="dxa"/>
            <w:gridSpan w:val="2"/>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2657"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企业法人单位</w:t>
            </w:r>
          </w:p>
          <w:p>
            <w:pPr>
              <w:widowControl/>
              <w:spacing w:line="240" w:lineRule="atLeast"/>
              <w:ind w:left="57" w:right="57"/>
              <w:jc w:val="center"/>
              <w:rPr>
                <w:rFonts w:ascii="宋体" w:hAnsi="宋体" w:cs="宋体"/>
                <w:b/>
                <w:kern w:val="0"/>
                <w:sz w:val="18"/>
                <w:szCs w:val="18"/>
              </w:rPr>
            </w:pPr>
            <w:r>
              <w:rPr>
                <w:b/>
                <w:kern w:val="0"/>
                <w:szCs w:val="21"/>
              </w:rPr>
              <w:t>(</w:t>
            </w:r>
            <w:r>
              <w:rPr>
                <w:rFonts w:hint="eastAsia" w:ascii="宋体" w:hAnsi="宋体" w:cs="宋体"/>
                <w:b/>
                <w:kern w:val="0"/>
                <w:szCs w:val="21"/>
              </w:rPr>
              <w:t>个</w:t>
            </w:r>
            <w:r>
              <w:rPr>
                <w:b/>
                <w:kern w:val="0"/>
                <w:szCs w:val="21"/>
              </w:rPr>
              <w:t>)</w:t>
            </w:r>
          </w:p>
        </w:tc>
        <w:tc>
          <w:tcPr>
            <w:tcW w:w="1932"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从业人员</w:t>
            </w:r>
          </w:p>
          <w:p>
            <w:pPr>
              <w:widowControl/>
              <w:spacing w:line="240" w:lineRule="atLeast"/>
              <w:ind w:left="57" w:right="57"/>
              <w:jc w:val="center"/>
              <w:rPr>
                <w:rFonts w:ascii="宋体" w:hAnsi="宋体" w:cs="宋体"/>
                <w:b/>
                <w:kern w:val="0"/>
                <w:sz w:val="18"/>
                <w:szCs w:val="18"/>
              </w:rPr>
            </w:pPr>
            <w:r>
              <w:rPr>
                <w:b/>
                <w:kern w:val="0"/>
                <w:szCs w:val="21"/>
              </w:rPr>
              <w:t>(</w:t>
            </w:r>
            <w:r>
              <w:rPr>
                <w:rFonts w:hint="eastAsia" w:ascii="宋体" w:hAnsi="宋体" w:cs="宋体"/>
                <w:b/>
                <w:kern w:val="0"/>
                <w:szCs w:val="21"/>
              </w:rPr>
              <w:t>人</w:t>
            </w:r>
            <w:r>
              <w:rPr>
                <w:b/>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657" w:type="dxa"/>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8</w:t>
            </w:r>
          </w:p>
        </w:tc>
        <w:tc>
          <w:tcPr>
            <w:tcW w:w="1932" w:type="dxa"/>
            <w:tcBorders>
              <w:top w:val="single" w:color="auto" w:sz="4" w:space="0"/>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内资企业</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8</w:t>
            </w: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国有企业</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集体企业</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股份合作企业</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联营企业</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有限责任公司</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股份有限公司</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私营企业</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其他企业</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港、澳、台商投资企业</w:t>
            </w:r>
          </w:p>
        </w:tc>
        <w:tc>
          <w:tcPr>
            <w:tcW w:w="2657"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c>
          <w:tcPr>
            <w:tcW w:w="1932"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710"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外商投资企业</w:t>
            </w:r>
          </w:p>
        </w:tc>
        <w:tc>
          <w:tcPr>
            <w:tcW w:w="2657" w:type="dxa"/>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c>
          <w:tcPr>
            <w:tcW w:w="1932" w:type="dxa"/>
            <w:tcBorders>
              <w:top w:val="nil"/>
              <w:left w:val="single" w:color="auto" w:sz="4" w:space="0"/>
              <w:bottom w:val="single" w:color="auto" w:sz="12" w:space="0"/>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both"/>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2018年末，信息传输、软件和信息技术服务业企业法人单位资产总计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220.6万</w:t>
      </w:r>
      <w:r>
        <w:rPr>
          <w:rFonts w:hint="eastAsia" w:ascii="Microsoft YaHei UI" w:hAnsi="Microsoft YaHei UI" w:eastAsia="Microsoft YaHei UI" w:cs="Microsoft YaHei UI"/>
          <w:b w:val="0"/>
          <w:i w:val="0"/>
          <w:caps w:val="0"/>
          <w:color w:val="333333"/>
          <w:spacing w:val="8"/>
          <w:sz w:val="25"/>
          <w:szCs w:val="25"/>
          <w:shd w:val="clear" w:color="080000" w:fill="FFFFFF"/>
        </w:rPr>
        <w:t>元，比2013年末增长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%。负债合计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45.1</w:t>
      </w:r>
      <w:r>
        <w:rPr>
          <w:rFonts w:hint="eastAsia" w:ascii="Microsoft YaHei UI" w:hAnsi="Microsoft YaHei UI" w:eastAsia="Microsoft YaHei UI" w:cs="Microsoft YaHei UI"/>
          <w:b w:val="0"/>
          <w:i w:val="0"/>
          <w:caps w:val="0"/>
          <w:color w:val="333333"/>
          <w:spacing w:val="8"/>
          <w:sz w:val="25"/>
          <w:szCs w:val="25"/>
          <w:shd w:val="clear" w:color="080000" w:fill="FFFFFF"/>
        </w:rPr>
        <w:t>元。全年实现营业收入</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256.3万</w:t>
      </w:r>
      <w:r>
        <w:rPr>
          <w:rFonts w:hint="eastAsia" w:ascii="Microsoft YaHei UI" w:hAnsi="Microsoft YaHei UI" w:eastAsia="Microsoft YaHei UI" w:cs="Microsoft YaHei UI"/>
          <w:b w:val="0"/>
          <w:i w:val="0"/>
          <w:caps w:val="0"/>
          <w:color w:val="333333"/>
          <w:spacing w:val="8"/>
          <w:sz w:val="25"/>
          <w:szCs w:val="25"/>
          <w:shd w:val="clear" w:color="080000" w:fill="FFFFFF"/>
        </w:rPr>
        <w:t>元（详见表4-12）。</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675"/>
        <w:gridCol w:w="7"/>
        <w:gridCol w:w="1532"/>
        <w:gridCol w:w="7"/>
        <w:gridCol w:w="1532"/>
        <w:gridCol w:w="7"/>
        <w:gridCol w:w="1532"/>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850" w:hRule="atLeast"/>
          <w:jc w:val="center"/>
        </w:trPr>
        <w:tc>
          <w:tcPr>
            <w:tcW w:w="8299" w:type="dxa"/>
            <w:gridSpan w:val="8"/>
            <w:tcBorders>
              <w:top w:val="nil"/>
              <w:left w:val="nil"/>
              <w:bottom w:val="single" w:color="auto" w:sz="12" w:space="0"/>
              <w:right w:val="nil"/>
            </w:tcBorders>
            <w:shd w:val="clear" w:color="auto" w:fill="FFFFFF"/>
            <w:vAlign w:val="center"/>
          </w:tcPr>
          <w:p>
            <w:pPr>
              <w:widowControl/>
              <w:spacing w:line="320" w:lineRule="exact"/>
              <w:ind w:left="964" w:right="57" w:hanging="964" w:hangingChars="400"/>
              <w:jc w:val="center"/>
              <w:rPr>
                <w:rFonts w:ascii="宋体" w:hAnsi="宋体" w:cs="宋体"/>
                <w:b/>
                <w:bCs/>
                <w:kern w:val="0"/>
                <w:sz w:val="24"/>
              </w:rPr>
            </w:pPr>
            <w:r>
              <w:rPr>
                <w:rFonts w:hint="eastAsia" w:ascii="宋体" w:hAnsi="宋体" w:cs="宋体"/>
                <w:b/>
                <w:bCs/>
                <w:kern w:val="0"/>
                <w:sz w:val="24"/>
              </w:rPr>
              <w:t>表</w:t>
            </w:r>
            <w:r>
              <w:rPr>
                <w:rFonts w:ascii="宋体" w:hAnsi="宋体" w:cs="宋体"/>
                <w:b/>
                <w:bCs/>
                <w:kern w:val="0"/>
                <w:sz w:val="24"/>
              </w:rPr>
              <w:t>4-12</w:t>
            </w:r>
            <w:r>
              <w:rPr>
                <w:rFonts w:hint="eastAsia" w:ascii="宋体" w:hAnsi="宋体" w:cs="宋体"/>
                <w:b/>
                <w:bCs/>
                <w:kern w:val="0"/>
                <w:sz w:val="24"/>
              </w:rPr>
              <w:t>　按行业大类分组的信息传输、软件和信息技术服务业</w:t>
            </w:r>
          </w:p>
          <w:p>
            <w:pPr>
              <w:widowControl/>
              <w:spacing w:line="320" w:lineRule="exact"/>
              <w:ind w:left="964" w:right="57" w:hanging="964" w:hangingChars="400"/>
              <w:jc w:val="center"/>
              <w:rPr>
                <w:rFonts w:ascii="宋体" w:hAnsi="宋体" w:cs="宋体"/>
                <w:b/>
                <w:bCs/>
                <w:kern w:val="0"/>
                <w:sz w:val="24"/>
              </w:rPr>
            </w:pPr>
            <w:r>
              <w:rPr>
                <w:rFonts w:hint="eastAsia" w:ascii="宋体" w:hAnsi="宋体" w:cs="宋体"/>
                <w:b/>
                <w:bCs/>
                <w:kern w:val="0"/>
                <w:sz w:val="24"/>
              </w:rPr>
              <w:t>企业法人单位主要经济</w:t>
            </w:r>
            <w:r>
              <w:rPr>
                <w:rFonts w:ascii="宋体" w:hAnsi="宋体" w:cs="宋体"/>
                <w:b/>
                <w:bCs/>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3682" w:type="dxa"/>
            <w:gridSpan w:val="2"/>
            <w:tcBorders>
              <w:top w:val="single" w:color="auto" w:sz="12" w:space="0"/>
              <w:left w:val="nil"/>
              <w:bottom w:val="single" w:color="auto" w:sz="4" w:space="0"/>
              <w:right w:val="single" w:color="auto" w:sz="4" w:space="0"/>
            </w:tcBorders>
            <w:vAlign w:val="center"/>
          </w:tcPr>
          <w:p>
            <w:pPr>
              <w:widowControl/>
              <w:spacing w:line="320" w:lineRule="exact"/>
              <w:ind w:left="57" w:right="57" w:firstLine="500"/>
              <w:jc w:val="center"/>
              <w:rPr>
                <w:rFonts w:ascii="宋体" w:hAnsi="宋体" w:cs="宋体"/>
                <w:b/>
                <w:kern w:val="0"/>
                <w:sz w:val="18"/>
                <w:szCs w:val="18"/>
              </w:rPr>
            </w:pPr>
            <w:r>
              <w:rPr>
                <w:rFonts w:hint="eastAsia" w:ascii="宋体" w:hAnsi="宋体" w:cs="宋体"/>
                <w:b/>
                <w:kern w:val="0"/>
                <w:szCs w:val="21"/>
              </w:rPr>
              <w:t>　</w:t>
            </w:r>
          </w:p>
        </w:tc>
        <w:tc>
          <w:tcPr>
            <w:tcW w:w="1539" w:type="dxa"/>
            <w:gridSpan w:val="2"/>
            <w:tcBorders>
              <w:top w:val="single" w:color="auto" w:sz="12" w:space="0"/>
              <w:left w:val="single" w:color="auto" w:sz="4" w:space="0"/>
              <w:bottom w:val="single" w:color="auto" w:sz="4" w:space="0"/>
              <w:right w:val="single" w:color="auto" w:sz="4" w:space="0"/>
            </w:tcBorders>
            <w:vAlign w:val="center"/>
          </w:tcPr>
          <w:p>
            <w:pPr>
              <w:widowControl/>
              <w:spacing w:line="320" w:lineRule="exact"/>
              <w:ind w:left="57" w:right="57"/>
              <w:jc w:val="center"/>
              <w:rPr>
                <w:rFonts w:ascii="宋体" w:hAnsi="宋体" w:cs="宋体"/>
                <w:b/>
                <w:kern w:val="0"/>
                <w:szCs w:val="21"/>
              </w:rPr>
            </w:pPr>
            <w:r>
              <w:rPr>
                <w:rFonts w:hint="eastAsia" w:ascii="宋体" w:hAnsi="宋体" w:cs="宋体"/>
                <w:b/>
                <w:kern w:val="0"/>
                <w:szCs w:val="21"/>
              </w:rPr>
              <w:t>资产</w:t>
            </w:r>
            <w:r>
              <w:rPr>
                <w:rFonts w:ascii="宋体" w:hAnsi="宋体" w:cs="宋体"/>
                <w:b/>
                <w:kern w:val="0"/>
                <w:szCs w:val="21"/>
              </w:rPr>
              <w:t>总计</w:t>
            </w:r>
          </w:p>
          <w:p>
            <w:pPr>
              <w:widowControl/>
              <w:spacing w:line="320" w:lineRule="exac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single" w:color="auto" w:sz="12" w:space="0"/>
              <w:left w:val="single" w:color="auto" w:sz="4" w:space="0"/>
              <w:bottom w:val="single" w:color="auto" w:sz="4" w:space="0"/>
              <w:right w:val="single" w:color="auto" w:sz="4" w:space="0"/>
            </w:tcBorders>
            <w:vAlign w:val="center"/>
          </w:tcPr>
          <w:p>
            <w:pPr>
              <w:widowControl/>
              <w:spacing w:line="320" w:lineRule="exac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320" w:lineRule="exac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single" w:color="auto" w:sz="12" w:space="0"/>
              <w:left w:val="single" w:color="auto" w:sz="4" w:space="0"/>
              <w:bottom w:val="single" w:color="auto" w:sz="4" w:space="0"/>
              <w:right w:val="nil"/>
            </w:tcBorders>
            <w:vAlign w:val="center"/>
          </w:tcPr>
          <w:p>
            <w:pPr>
              <w:widowControl/>
              <w:spacing w:line="320" w:lineRule="exact"/>
              <w:ind w:left="57" w:right="57"/>
              <w:jc w:val="center"/>
              <w:rPr>
                <w:rFonts w:ascii="宋体" w:hAnsi="宋体" w:cs="宋体"/>
                <w:b/>
                <w:kern w:val="0"/>
                <w:szCs w:val="21"/>
              </w:rPr>
            </w:pPr>
            <w:r>
              <w:rPr>
                <w:rFonts w:hint="eastAsia" w:ascii="宋体" w:hAnsi="宋体" w:cs="宋体"/>
                <w:b/>
                <w:kern w:val="0"/>
                <w:szCs w:val="21"/>
              </w:rPr>
              <w:t>营业收入</w:t>
            </w:r>
          </w:p>
          <w:p>
            <w:pPr>
              <w:widowControl/>
              <w:spacing w:line="320" w:lineRule="exac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single" w:color="auto" w:sz="4" w:space="0"/>
              <w:left w:val="nil"/>
              <w:bottom w:val="nil"/>
              <w:right w:val="single" w:color="auto" w:sz="4" w:space="0"/>
            </w:tcBorders>
            <w:vAlign w:val="center"/>
          </w:tcPr>
          <w:p>
            <w:pPr>
              <w:widowControl/>
              <w:spacing w:line="320" w:lineRule="exact"/>
              <w:ind w:left="57" w:right="57"/>
              <w:jc w:val="center"/>
              <w:rPr>
                <w:rFonts w:ascii="宋体" w:hAnsi="宋体" w:cs="宋体"/>
                <w:kern w:val="0"/>
                <w:sz w:val="18"/>
                <w:szCs w:val="18"/>
              </w:rPr>
            </w:pPr>
            <w:r>
              <w:rPr>
                <w:rFonts w:hint="eastAsia" w:ascii="宋体" w:hAnsi="宋体" w:cs="宋体"/>
                <w:b/>
                <w:bCs/>
                <w:kern w:val="0"/>
                <w:szCs w:val="21"/>
              </w:rPr>
              <w:t>合　计</w:t>
            </w:r>
          </w:p>
        </w:tc>
        <w:tc>
          <w:tcPr>
            <w:tcW w:w="1539" w:type="dxa"/>
            <w:gridSpan w:val="2"/>
            <w:tcBorders>
              <w:top w:val="single" w:color="auto" w:sz="4" w:space="0"/>
              <w:left w:val="single" w:color="auto" w:sz="4" w:space="0"/>
              <w:bottom w:val="nil"/>
              <w:right w:val="single" w:color="auto" w:sz="4" w:space="0"/>
            </w:tcBorders>
            <w:vAlign w:val="top"/>
          </w:tcPr>
          <w:p>
            <w:pPr>
              <w:widowControl/>
              <w:spacing w:line="320" w:lineRule="exac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220.6</w:t>
            </w:r>
          </w:p>
        </w:tc>
        <w:tc>
          <w:tcPr>
            <w:tcW w:w="1539" w:type="dxa"/>
            <w:gridSpan w:val="2"/>
            <w:tcBorders>
              <w:top w:val="single" w:color="auto" w:sz="4" w:space="0"/>
              <w:left w:val="single" w:color="auto" w:sz="4" w:space="0"/>
              <w:bottom w:val="nil"/>
              <w:right w:val="single" w:color="auto" w:sz="4" w:space="0"/>
            </w:tcBorders>
            <w:vAlign w:val="top"/>
          </w:tcPr>
          <w:p>
            <w:pPr>
              <w:widowControl/>
              <w:spacing w:line="320" w:lineRule="exac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45.1</w:t>
            </w:r>
          </w:p>
        </w:tc>
        <w:tc>
          <w:tcPr>
            <w:tcW w:w="1539" w:type="dxa"/>
            <w:gridSpan w:val="2"/>
            <w:tcBorders>
              <w:top w:val="single" w:color="auto" w:sz="4" w:space="0"/>
              <w:left w:val="single" w:color="auto" w:sz="4" w:space="0"/>
              <w:bottom w:val="nil"/>
              <w:right w:val="nil"/>
            </w:tcBorders>
            <w:vAlign w:val="top"/>
          </w:tcPr>
          <w:p>
            <w:pPr>
              <w:widowControl/>
              <w:spacing w:line="320" w:lineRule="exac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256.3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pPr>
              <w:spacing w:line="320" w:lineRule="exact"/>
            </w:pPr>
            <w:r>
              <w:rPr>
                <w:rFonts w:hint="eastAsia" w:ascii="宋体" w:hAnsi="宋体" w:cs="宋体"/>
                <w:kern w:val="0"/>
                <w:szCs w:val="21"/>
              </w:rPr>
              <w:t>　电信、广播电视和卫星传输服务</w:t>
            </w:r>
          </w:p>
        </w:tc>
        <w:tc>
          <w:tcPr>
            <w:tcW w:w="1539" w:type="dxa"/>
            <w:gridSpan w:val="2"/>
            <w:tcBorders>
              <w:top w:val="nil"/>
              <w:left w:val="single" w:color="auto" w:sz="4" w:space="0"/>
              <w:bottom w:val="nil"/>
              <w:right w:val="single" w:color="auto" w:sz="4" w:space="0"/>
            </w:tcBorders>
            <w:vAlign w:val="top"/>
          </w:tcPr>
          <w:p>
            <w:pPr>
              <w:widowControl/>
              <w:spacing w:line="320" w:lineRule="exac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1539" w:type="dxa"/>
            <w:gridSpan w:val="2"/>
            <w:tcBorders>
              <w:top w:val="nil"/>
              <w:left w:val="single" w:color="auto" w:sz="4" w:space="0"/>
              <w:bottom w:val="nil"/>
              <w:right w:val="single" w:color="auto" w:sz="4" w:space="0"/>
            </w:tcBorders>
            <w:vAlign w:val="top"/>
          </w:tcPr>
          <w:p>
            <w:pPr>
              <w:widowControl/>
              <w:spacing w:line="320" w:lineRule="exac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0.4</w:t>
            </w:r>
          </w:p>
        </w:tc>
        <w:tc>
          <w:tcPr>
            <w:tcW w:w="1539" w:type="dxa"/>
            <w:gridSpan w:val="2"/>
            <w:tcBorders>
              <w:top w:val="nil"/>
              <w:left w:val="single" w:color="auto" w:sz="4" w:space="0"/>
              <w:bottom w:val="nil"/>
              <w:right w:val="nil"/>
            </w:tcBorders>
            <w:vAlign w:val="top"/>
          </w:tcPr>
          <w:p>
            <w:pPr>
              <w:widowControl/>
              <w:spacing w:line="320" w:lineRule="exac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124.6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pPr>
              <w:spacing w:line="320" w:lineRule="exact"/>
            </w:pPr>
            <w:r>
              <w:rPr>
                <w:rFonts w:hint="eastAsia" w:ascii="宋体" w:hAnsi="宋体" w:cs="宋体"/>
                <w:kern w:val="0"/>
                <w:szCs w:val="21"/>
              </w:rPr>
              <w:t>　互联网和相关服务</w:t>
            </w:r>
          </w:p>
        </w:tc>
        <w:tc>
          <w:tcPr>
            <w:tcW w:w="1539" w:type="dxa"/>
            <w:gridSpan w:val="2"/>
            <w:tcBorders>
              <w:top w:val="nil"/>
              <w:left w:val="single" w:color="auto" w:sz="4" w:space="0"/>
              <w:bottom w:val="nil"/>
              <w:right w:val="single" w:color="auto" w:sz="4" w:space="0"/>
            </w:tcBorders>
            <w:vAlign w:val="top"/>
          </w:tcPr>
          <w:p>
            <w:pPr>
              <w:widowControl/>
              <w:spacing w:line="320" w:lineRule="exac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116</w:t>
            </w:r>
          </w:p>
        </w:tc>
        <w:tc>
          <w:tcPr>
            <w:tcW w:w="1539" w:type="dxa"/>
            <w:gridSpan w:val="2"/>
            <w:tcBorders>
              <w:top w:val="nil"/>
              <w:left w:val="single" w:color="auto" w:sz="4" w:space="0"/>
              <w:bottom w:val="nil"/>
              <w:right w:val="single" w:color="auto" w:sz="4" w:space="0"/>
            </w:tcBorders>
            <w:vAlign w:val="top"/>
          </w:tcPr>
          <w:p>
            <w:pPr>
              <w:widowControl/>
              <w:spacing w:line="320" w:lineRule="exac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43.4</w:t>
            </w:r>
          </w:p>
        </w:tc>
        <w:tc>
          <w:tcPr>
            <w:tcW w:w="1539" w:type="dxa"/>
            <w:gridSpan w:val="2"/>
            <w:tcBorders>
              <w:top w:val="nil"/>
              <w:left w:val="single" w:color="auto" w:sz="4" w:space="0"/>
              <w:bottom w:val="nil"/>
              <w:right w:val="nil"/>
            </w:tcBorders>
            <w:vAlign w:val="top"/>
          </w:tcPr>
          <w:p>
            <w:pPr>
              <w:widowControl/>
              <w:spacing w:line="320" w:lineRule="exac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129.6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single" w:color="auto" w:sz="12" w:space="0"/>
              <w:right w:val="single" w:color="auto" w:sz="4" w:space="0"/>
            </w:tcBorders>
            <w:vAlign w:val="top"/>
          </w:tcPr>
          <w:p>
            <w:pPr>
              <w:spacing w:line="320" w:lineRule="exact"/>
            </w:pPr>
            <w:r>
              <w:rPr>
                <w:rFonts w:hint="eastAsia"/>
              </w:rPr>
              <w:t>　</w:t>
            </w:r>
            <w:r>
              <w:rPr>
                <w:rFonts w:hint="eastAsia" w:ascii="宋体" w:hAnsi="宋体" w:cs="宋体"/>
                <w:kern w:val="0"/>
                <w:szCs w:val="21"/>
              </w:rPr>
              <w:t>软件和信息技术服务业</w:t>
            </w:r>
          </w:p>
        </w:tc>
        <w:tc>
          <w:tcPr>
            <w:tcW w:w="1539" w:type="dxa"/>
            <w:gridSpan w:val="2"/>
            <w:tcBorders>
              <w:top w:val="nil"/>
              <w:left w:val="single" w:color="auto" w:sz="4" w:space="0"/>
              <w:bottom w:val="single" w:color="auto" w:sz="12" w:space="0"/>
              <w:right w:val="single" w:color="auto" w:sz="4" w:space="0"/>
            </w:tcBorders>
            <w:vAlign w:val="top"/>
          </w:tcPr>
          <w:p>
            <w:pPr>
              <w:widowControl/>
              <w:spacing w:line="320" w:lineRule="exac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102</w:t>
            </w:r>
          </w:p>
        </w:tc>
        <w:tc>
          <w:tcPr>
            <w:tcW w:w="1539" w:type="dxa"/>
            <w:gridSpan w:val="2"/>
            <w:tcBorders>
              <w:top w:val="nil"/>
              <w:left w:val="single" w:color="auto" w:sz="4" w:space="0"/>
              <w:bottom w:val="single" w:color="auto" w:sz="12" w:space="0"/>
              <w:right w:val="single" w:color="auto" w:sz="4" w:space="0"/>
            </w:tcBorders>
            <w:vAlign w:val="top"/>
          </w:tcPr>
          <w:p>
            <w:pPr>
              <w:widowControl/>
              <w:spacing w:line="320" w:lineRule="exac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1539" w:type="dxa"/>
            <w:gridSpan w:val="2"/>
            <w:tcBorders>
              <w:top w:val="nil"/>
              <w:left w:val="single" w:color="auto" w:sz="4" w:space="0"/>
              <w:bottom w:val="single" w:color="auto" w:sz="12" w:space="0"/>
              <w:right w:val="nil"/>
            </w:tcBorders>
            <w:vAlign w:val="top"/>
          </w:tcPr>
          <w:p>
            <w:pPr>
              <w:widowControl/>
              <w:spacing w:line="320" w:lineRule="exac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20.6</w:t>
            </w:r>
          </w:p>
        </w:tc>
      </w:tr>
    </w:tbl>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黑体" w:hAnsi="宋体" w:eastAsia="黑体" w:cs="黑体"/>
          <w:b w:val="0"/>
          <w:i w:val="0"/>
          <w:caps w:val="0"/>
          <w:color w:val="333333"/>
          <w:spacing w:val="8"/>
          <w:sz w:val="25"/>
          <w:szCs w:val="25"/>
          <w:shd w:val="clear" w:color="080000" w:fill="FFFFFF"/>
          <w:lang w:eastAsia="zh-CN"/>
        </w:rPr>
        <w:t>五</w:t>
      </w:r>
      <w:r>
        <w:rPr>
          <w:rFonts w:hint="eastAsia" w:ascii="黑体" w:hAnsi="宋体" w:eastAsia="黑体" w:cs="黑体"/>
          <w:b w:val="0"/>
          <w:i w:val="0"/>
          <w:caps w:val="0"/>
          <w:color w:val="333333"/>
          <w:spacing w:val="8"/>
          <w:sz w:val="25"/>
          <w:szCs w:val="25"/>
          <w:shd w:val="clear" w:color="080000" w:fill="FFFFFF"/>
        </w:rPr>
        <w:t>、房地产业</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（一）企业法人单位数和从业人员。</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lang w:val="en-US" w:eastAsia="zh-CN"/>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2018年末，全</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县</w:t>
      </w:r>
      <w:r>
        <w:rPr>
          <w:rFonts w:hint="eastAsia" w:ascii="Microsoft YaHei UI" w:hAnsi="Microsoft YaHei UI" w:eastAsia="Microsoft YaHei UI" w:cs="Microsoft YaHei UI"/>
          <w:b w:val="0"/>
          <w:i w:val="0"/>
          <w:caps w:val="0"/>
          <w:color w:val="333333"/>
          <w:spacing w:val="8"/>
          <w:sz w:val="25"/>
          <w:szCs w:val="25"/>
          <w:shd w:val="clear" w:color="080000" w:fill="FFFFFF"/>
        </w:rPr>
        <w:t>共有房地产业企业法人单位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12</w:t>
      </w:r>
      <w:r>
        <w:rPr>
          <w:rFonts w:hint="eastAsia" w:ascii="Microsoft YaHei UI" w:hAnsi="Microsoft YaHei UI" w:eastAsia="Microsoft YaHei UI" w:cs="Microsoft YaHei UI"/>
          <w:b w:val="0"/>
          <w:i w:val="0"/>
          <w:caps w:val="0"/>
          <w:color w:val="333333"/>
          <w:spacing w:val="8"/>
          <w:sz w:val="25"/>
          <w:szCs w:val="25"/>
          <w:shd w:val="clear" w:color="080000" w:fill="FFFFFF"/>
        </w:rPr>
        <w:t>个，比2013年末</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下降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26.47</w:t>
      </w:r>
      <w:r>
        <w:rPr>
          <w:rFonts w:hint="eastAsia" w:ascii="Microsoft YaHei UI" w:hAnsi="Microsoft YaHei UI" w:eastAsia="Microsoft YaHei UI" w:cs="Microsoft YaHei UI"/>
          <w:b w:val="0"/>
          <w:i w:val="0"/>
          <w:caps w:val="0"/>
          <w:color w:val="333333"/>
          <w:spacing w:val="8"/>
          <w:sz w:val="25"/>
          <w:szCs w:val="25"/>
          <w:shd w:val="clear" w:color="080000" w:fill="FFFFFF"/>
        </w:rPr>
        <w:t>%。其中，房地产开发经营企业</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12</w:t>
      </w:r>
      <w:r>
        <w:rPr>
          <w:rFonts w:hint="eastAsia" w:ascii="Microsoft YaHei UI" w:hAnsi="Microsoft YaHei UI" w:eastAsia="Microsoft YaHei UI" w:cs="Microsoft YaHei UI"/>
          <w:b w:val="0"/>
          <w:i w:val="0"/>
          <w:caps w:val="0"/>
          <w:color w:val="333333"/>
          <w:spacing w:val="8"/>
          <w:sz w:val="25"/>
          <w:szCs w:val="25"/>
          <w:shd w:val="clear" w:color="080000" w:fill="FFFFFF"/>
        </w:rPr>
        <w:t>个，比2013年末</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下降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20%。</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2018年末，全</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县</w:t>
      </w:r>
      <w:r>
        <w:rPr>
          <w:rFonts w:hint="eastAsia" w:ascii="Microsoft YaHei UI" w:hAnsi="Microsoft YaHei UI" w:eastAsia="Microsoft YaHei UI" w:cs="Microsoft YaHei UI"/>
          <w:b w:val="0"/>
          <w:i w:val="0"/>
          <w:caps w:val="0"/>
          <w:color w:val="333333"/>
          <w:spacing w:val="8"/>
          <w:sz w:val="25"/>
          <w:szCs w:val="25"/>
          <w:shd w:val="clear" w:color="080000" w:fill="FFFFFF"/>
        </w:rPr>
        <w:t>房地产业企业法人单位的从业人员为</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198</w:t>
      </w:r>
      <w:r>
        <w:rPr>
          <w:rFonts w:hint="eastAsia" w:ascii="Microsoft YaHei UI" w:hAnsi="Microsoft YaHei UI" w:eastAsia="Microsoft YaHei UI" w:cs="Microsoft YaHei UI"/>
          <w:b w:val="0"/>
          <w:i w:val="0"/>
          <w:caps w:val="0"/>
          <w:color w:val="333333"/>
          <w:spacing w:val="8"/>
          <w:sz w:val="25"/>
          <w:szCs w:val="25"/>
          <w:shd w:val="clear" w:color="080000" w:fill="FFFFFF"/>
        </w:rPr>
        <w:t>人，比2013年末</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下降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58.23</w:t>
      </w:r>
      <w:r>
        <w:rPr>
          <w:rFonts w:hint="eastAsia" w:ascii="Microsoft YaHei UI" w:hAnsi="Microsoft YaHei UI" w:eastAsia="Microsoft YaHei UI" w:cs="Microsoft YaHei UI"/>
          <w:b w:val="0"/>
          <w:i w:val="0"/>
          <w:caps w:val="0"/>
          <w:color w:val="333333"/>
          <w:spacing w:val="8"/>
          <w:sz w:val="25"/>
          <w:szCs w:val="25"/>
          <w:shd w:val="clear" w:color="080000" w:fill="FFFFFF"/>
        </w:rPr>
        <w:t>%。其中，房地产开发经营企业</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198</w:t>
      </w:r>
      <w:r>
        <w:rPr>
          <w:rFonts w:hint="eastAsia" w:ascii="Microsoft YaHei UI" w:hAnsi="Microsoft YaHei UI" w:eastAsia="Microsoft YaHei UI" w:cs="Microsoft YaHei UI"/>
          <w:b w:val="0"/>
          <w:i w:val="0"/>
          <w:caps w:val="0"/>
          <w:color w:val="333333"/>
          <w:spacing w:val="8"/>
          <w:sz w:val="25"/>
          <w:szCs w:val="25"/>
          <w:shd w:val="clear" w:color="080000" w:fill="FFFFFF"/>
        </w:rPr>
        <w:t>人，分别比2013年末</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下降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26.67</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%（详见表4-15）。</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076"/>
        <w:gridCol w:w="2674"/>
        <w:gridCol w:w="25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4-</w:t>
            </w:r>
            <w:r>
              <w:rPr>
                <w:rFonts w:hint="eastAsia"/>
                <w:b/>
                <w:bCs/>
                <w:kern w:val="0"/>
                <w:sz w:val="24"/>
                <w:lang w:val="en-US" w:eastAsia="zh-CN"/>
              </w:rPr>
              <w:t>13</w:t>
            </w:r>
            <w:r>
              <w:rPr>
                <w:rFonts w:hint="eastAsia" w:ascii="宋体" w:hAnsi="宋体" w:cs="宋体"/>
                <w:b/>
                <w:bCs/>
                <w:kern w:val="0"/>
                <w:sz w:val="24"/>
              </w:rPr>
              <w:t>　按行业中类分组的房地产业企业法人单位和从业人员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83"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kern w:val="0"/>
                <w:sz w:val="18"/>
                <w:szCs w:val="18"/>
              </w:rPr>
            </w:pPr>
            <w:r>
              <w:rPr>
                <w:kern w:val="0"/>
                <w:szCs w:val="21"/>
              </w:rPr>
              <w:t> </w:t>
            </w:r>
          </w:p>
        </w:tc>
        <w:tc>
          <w:tcPr>
            <w:tcW w:w="2674"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企业法人单位（个）</w:t>
            </w:r>
          </w:p>
        </w:tc>
        <w:tc>
          <w:tcPr>
            <w:tcW w:w="2549"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674" w:type="dxa"/>
            <w:tcBorders>
              <w:top w:val="single" w:color="auto" w:sz="4" w:space="0"/>
              <w:left w:val="single" w:color="auto" w:sz="4" w:space="0"/>
              <w:bottom w:val="nil"/>
              <w:right w:val="single" w:color="auto" w:sz="4" w:space="0"/>
            </w:tcBorders>
            <w:vAlign w:val="top"/>
          </w:tcPr>
          <w:p>
            <w:pPr>
              <w:jc w:val="center"/>
              <w:rPr>
                <w:rFonts w:hint="eastAsia" w:eastAsia="宋体"/>
                <w:b/>
                <w:lang w:val="en-US" w:eastAsia="zh-CN"/>
              </w:rPr>
            </w:pPr>
            <w:r>
              <w:rPr>
                <w:rFonts w:hint="eastAsia"/>
                <w:b/>
                <w:lang w:val="en-US" w:eastAsia="zh-CN"/>
              </w:rPr>
              <w:t>25</w:t>
            </w:r>
          </w:p>
        </w:tc>
        <w:tc>
          <w:tcPr>
            <w:tcW w:w="2549" w:type="dxa"/>
            <w:tcBorders>
              <w:top w:val="single" w:color="auto" w:sz="4" w:space="0"/>
              <w:left w:val="single" w:color="auto" w:sz="4" w:space="0"/>
              <w:bottom w:val="nil"/>
              <w:right w:val="nil"/>
            </w:tcBorders>
            <w:vAlign w:val="top"/>
          </w:tcPr>
          <w:p>
            <w:pPr>
              <w:jc w:val="center"/>
              <w:rPr>
                <w:rFonts w:hint="eastAsia" w:eastAsia="宋体"/>
                <w:b/>
                <w:lang w:val="en-US" w:eastAsia="zh-CN"/>
              </w:rPr>
            </w:pPr>
            <w:r>
              <w:rPr>
                <w:rFonts w:hint="eastAsia"/>
                <w:b/>
                <w:lang w:val="en-US" w:eastAsia="zh-CN"/>
              </w:rPr>
              <w:t>198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房地产开发经营</w:t>
            </w:r>
          </w:p>
        </w:tc>
        <w:tc>
          <w:tcPr>
            <w:tcW w:w="2674" w:type="dxa"/>
            <w:tcBorders>
              <w:top w:val="nil"/>
              <w:left w:val="single" w:color="auto" w:sz="4" w:space="0"/>
              <w:bottom w:val="nil"/>
              <w:right w:val="single" w:color="auto" w:sz="4" w:space="0"/>
            </w:tcBorders>
            <w:vAlign w:val="top"/>
          </w:tcPr>
          <w:p>
            <w:pPr>
              <w:jc w:val="center"/>
              <w:rPr>
                <w:rFonts w:hint="eastAsia" w:eastAsia="宋体"/>
                <w:lang w:val="en-US" w:eastAsia="zh-CN"/>
              </w:rPr>
            </w:pPr>
            <w:r>
              <w:rPr>
                <w:rFonts w:hint="eastAsia"/>
                <w:lang w:val="en-US" w:eastAsia="zh-CN"/>
              </w:rPr>
              <w:t>12</w:t>
            </w:r>
          </w:p>
        </w:tc>
        <w:tc>
          <w:tcPr>
            <w:tcW w:w="2549" w:type="dxa"/>
            <w:tcBorders>
              <w:top w:val="nil"/>
              <w:left w:val="single" w:color="auto" w:sz="4" w:space="0"/>
              <w:bottom w:val="nil"/>
              <w:right w:val="nil"/>
            </w:tcBorders>
            <w:vAlign w:val="top"/>
          </w:tcPr>
          <w:p>
            <w:pPr>
              <w:jc w:val="center"/>
              <w:rPr>
                <w:rFonts w:hint="eastAsia" w:eastAsia="宋体"/>
                <w:lang w:val="en-US" w:eastAsia="zh-CN"/>
              </w:rPr>
            </w:pPr>
            <w:r>
              <w:rPr>
                <w:rFonts w:hint="eastAsia"/>
                <w:lang w:val="en-US" w:eastAsia="zh-CN"/>
              </w:rPr>
              <w:t>198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物业管理</w:t>
            </w:r>
          </w:p>
        </w:tc>
        <w:tc>
          <w:tcPr>
            <w:tcW w:w="2674" w:type="dxa"/>
            <w:tcBorders>
              <w:top w:val="nil"/>
              <w:left w:val="single" w:color="auto" w:sz="4" w:space="0"/>
              <w:bottom w:val="nil"/>
              <w:right w:val="single" w:color="auto" w:sz="4" w:space="0"/>
            </w:tcBorders>
            <w:vAlign w:val="top"/>
          </w:tcPr>
          <w:p>
            <w:pPr>
              <w:jc w:val="center"/>
              <w:rPr>
                <w:rFonts w:hint="eastAsia" w:eastAsia="宋体"/>
                <w:strike/>
                <w:dstrike w:val="0"/>
                <w:lang w:val="en-US" w:eastAsia="zh-CN"/>
              </w:rPr>
            </w:pPr>
          </w:p>
        </w:tc>
        <w:tc>
          <w:tcPr>
            <w:tcW w:w="2549" w:type="dxa"/>
            <w:tcBorders>
              <w:top w:val="nil"/>
              <w:left w:val="single" w:color="auto" w:sz="4" w:space="0"/>
              <w:bottom w:val="nil"/>
              <w:right w:val="nil"/>
            </w:tcBorders>
            <w:vAlign w:val="top"/>
          </w:tcPr>
          <w:p>
            <w:pPr>
              <w:jc w:val="center"/>
              <w:rPr>
                <w:rFonts w:hint="eastAsia" w:eastAsia="宋体"/>
                <w:strike/>
                <w:dstrike w:val="0"/>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6"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房地产中介服务</w:t>
            </w:r>
          </w:p>
        </w:tc>
        <w:tc>
          <w:tcPr>
            <w:tcW w:w="2674" w:type="dxa"/>
            <w:tcBorders>
              <w:top w:val="nil"/>
              <w:left w:val="single" w:color="auto" w:sz="4" w:space="0"/>
              <w:bottom w:val="nil"/>
              <w:right w:val="single" w:color="auto" w:sz="4" w:space="0"/>
            </w:tcBorders>
            <w:vAlign w:val="top"/>
          </w:tcPr>
          <w:p>
            <w:pPr>
              <w:jc w:val="center"/>
              <w:rPr>
                <w:rFonts w:hint="eastAsia" w:eastAsia="宋体"/>
                <w:strike/>
                <w:dstrike w:val="0"/>
                <w:lang w:val="en-US" w:eastAsia="zh-CN"/>
              </w:rPr>
            </w:pPr>
          </w:p>
        </w:tc>
        <w:tc>
          <w:tcPr>
            <w:tcW w:w="2549" w:type="dxa"/>
            <w:tcBorders>
              <w:top w:val="nil"/>
              <w:left w:val="single" w:color="auto" w:sz="4" w:space="0"/>
              <w:bottom w:val="nil"/>
              <w:right w:val="nil"/>
            </w:tcBorders>
            <w:vAlign w:val="top"/>
          </w:tcPr>
          <w:p>
            <w:pPr>
              <w:jc w:val="both"/>
              <w:rPr>
                <w:rFonts w:hint="eastAsia" w:eastAsia="宋体"/>
                <w:strike/>
                <w:dstrike w:val="0"/>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6" w:type="dxa"/>
            <w:tcBorders>
              <w:top w:val="nil"/>
              <w:left w:val="nil"/>
              <w:bottom w:val="nil"/>
              <w:right w:val="single" w:color="auto" w:sz="4" w:space="0"/>
            </w:tcBorders>
            <w:vAlign w:val="center"/>
          </w:tcPr>
          <w:p>
            <w:pPr>
              <w:widowControl/>
              <w:spacing w:line="240" w:lineRule="atLeast"/>
              <w:ind w:left="57" w:right="57" w:firstLine="210" w:firstLineChars="100"/>
              <w:rPr>
                <w:rFonts w:ascii="宋体" w:hAnsi="宋体" w:cs="宋体"/>
                <w:kern w:val="0"/>
                <w:sz w:val="18"/>
                <w:szCs w:val="18"/>
              </w:rPr>
            </w:pPr>
            <w:r>
              <w:rPr>
                <w:rFonts w:hint="eastAsia" w:ascii="宋体" w:hAnsi="宋体" w:cs="宋体"/>
                <w:kern w:val="0"/>
                <w:szCs w:val="21"/>
              </w:rPr>
              <w:t>房地产租赁</w:t>
            </w:r>
            <w:r>
              <w:rPr>
                <w:rFonts w:ascii="宋体" w:hAnsi="宋体" w:cs="宋体"/>
                <w:kern w:val="0"/>
                <w:szCs w:val="21"/>
              </w:rPr>
              <w:t>经营</w:t>
            </w:r>
          </w:p>
        </w:tc>
        <w:tc>
          <w:tcPr>
            <w:tcW w:w="2674" w:type="dxa"/>
            <w:tcBorders>
              <w:top w:val="nil"/>
              <w:left w:val="single" w:color="auto" w:sz="4" w:space="0"/>
              <w:bottom w:val="nil"/>
              <w:right w:val="single" w:color="auto" w:sz="4" w:space="0"/>
            </w:tcBorders>
            <w:vAlign w:val="top"/>
          </w:tcPr>
          <w:p>
            <w:pPr>
              <w:jc w:val="center"/>
              <w:rPr>
                <w:rFonts w:hint="eastAsia" w:eastAsia="宋体"/>
                <w:strike/>
                <w:dstrike w:val="0"/>
                <w:lang w:val="en-US" w:eastAsia="zh-CN"/>
              </w:rPr>
            </w:pPr>
          </w:p>
        </w:tc>
        <w:tc>
          <w:tcPr>
            <w:tcW w:w="2549" w:type="dxa"/>
            <w:tcBorders>
              <w:top w:val="nil"/>
              <w:left w:val="single" w:color="auto" w:sz="4" w:space="0"/>
              <w:bottom w:val="nil"/>
              <w:right w:val="nil"/>
            </w:tcBorders>
            <w:vAlign w:val="top"/>
          </w:tcPr>
          <w:p>
            <w:pPr>
              <w:jc w:val="both"/>
              <w:rPr>
                <w:rFonts w:hint="eastAsia" w:eastAsia="宋体"/>
                <w:strike/>
                <w:dstrike w:val="0"/>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076"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其他房地产业</w:t>
            </w:r>
          </w:p>
        </w:tc>
        <w:tc>
          <w:tcPr>
            <w:tcW w:w="2674" w:type="dxa"/>
            <w:tcBorders>
              <w:top w:val="nil"/>
              <w:left w:val="single" w:color="auto" w:sz="4" w:space="0"/>
              <w:bottom w:val="single" w:color="auto" w:sz="12" w:space="0"/>
              <w:right w:val="single" w:color="auto" w:sz="4" w:space="0"/>
            </w:tcBorders>
            <w:vAlign w:val="top"/>
          </w:tcPr>
          <w:p>
            <w:pPr>
              <w:jc w:val="center"/>
              <w:rPr>
                <w:rFonts w:hint="eastAsia" w:eastAsia="宋体"/>
                <w:lang w:val="en-US" w:eastAsia="zh-CN"/>
              </w:rPr>
            </w:pPr>
          </w:p>
        </w:tc>
        <w:tc>
          <w:tcPr>
            <w:tcW w:w="2549" w:type="dxa"/>
            <w:tcBorders>
              <w:top w:val="nil"/>
              <w:left w:val="single" w:color="auto" w:sz="4" w:space="0"/>
              <w:bottom w:val="single" w:color="auto" w:sz="12" w:space="0"/>
              <w:right w:val="nil"/>
            </w:tcBorders>
            <w:vAlign w:val="top"/>
          </w:tcPr>
          <w:p>
            <w:pPr>
              <w:jc w:val="center"/>
              <w:rPr>
                <w:rFonts w:hint="eastAsia" w:eastAsia="宋体"/>
                <w:lang w:val="en-US" w:eastAsia="zh-CN"/>
              </w:rPr>
            </w:pPr>
          </w:p>
        </w:tc>
      </w:tr>
    </w:tbl>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ind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2018年末，全</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县</w:t>
      </w:r>
      <w:r>
        <w:rPr>
          <w:rFonts w:hint="eastAsia" w:ascii="Microsoft YaHei UI" w:hAnsi="Microsoft YaHei UI" w:eastAsia="Microsoft YaHei UI" w:cs="Microsoft YaHei UI"/>
          <w:b w:val="0"/>
          <w:i w:val="0"/>
          <w:caps w:val="0"/>
          <w:color w:val="333333"/>
          <w:spacing w:val="8"/>
          <w:sz w:val="25"/>
          <w:szCs w:val="25"/>
          <w:shd w:val="clear" w:color="080000" w:fill="FFFFFF"/>
        </w:rPr>
        <w:t>房地产业企业法人单位的资产总计为</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261476.6万</w:t>
      </w:r>
      <w:r>
        <w:rPr>
          <w:rFonts w:hint="eastAsia" w:ascii="Microsoft YaHei UI" w:hAnsi="Microsoft YaHei UI" w:eastAsia="Microsoft YaHei UI" w:cs="Microsoft YaHei UI"/>
          <w:b w:val="0"/>
          <w:i w:val="0"/>
          <w:caps w:val="0"/>
          <w:color w:val="333333"/>
          <w:spacing w:val="8"/>
          <w:sz w:val="25"/>
          <w:szCs w:val="25"/>
          <w:shd w:val="clear" w:color="080000" w:fill="FFFFFF"/>
        </w:rPr>
        <w:t>元，比2013年末增长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302.93</w:t>
      </w:r>
      <w:r>
        <w:rPr>
          <w:rFonts w:hint="eastAsia" w:ascii="Microsoft YaHei UI" w:hAnsi="Microsoft YaHei UI" w:eastAsia="Microsoft YaHei UI" w:cs="Microsoft YaHei UI"/>
          <w:b w:val="0"/>
          <w:i w:val="0"/>
          <w:caps w:val="0"/>
          <w:color w:val="333333"/>
          <w:spacing w:val="8"/>
          <w:sz w:val="25"/>
          <w:szCs w:val="25"/>
          <w:shd w:val="clear" w:color="080000" w:fill="FFFFFF"/>
        </w:rPr>
        <w:t>%。其中，房地产开发经营企业</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201136.1万</w:t>
      </w:r>
      <w:r>
        <w:rPr>
          <w:rFonts w:hint="eastAsia" w:ascii="Microsoft YaHei UI" w:hAnsi="Microsoft YaHei UI" w:eastAsia="Microsoft YaHei UI" w:cs="Microsoft YaHei UI"/>
          <w:b w:val="0"/>
          <w:i w:val="0"/>
          <w:caps w:val="0"/>
          <w:color w:val="333333"/>
          <w:spacing w:val="8"/>
          <w:sz w:val="25"/>
          <w:szCs w:val="25"/>
          <w:shd w:val="clear" w:color="080000" w:fill="FFFFFF"/>
        </w:rPr>
        <w:t>元，比2013年末增长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69.9</w:t>
      </w:r>
      <w:r>
        <w:rPr>
          <w:rFonts w:hint="eastAsia" w:ascii="Microsoft YaHei UI" w:hAnsi="Microsoft YaHei UI" w:eastAsia="Microsoft YaHei UI" w:cs="Microsoft YaHei UI"/>
          <w:b w:val="0"/>
          <w:i w:val="0"/>
          <w:caps w:val="0"/>
          <w:color w:val="333333"/>
          <w:spacing w:val="8"/>
          <w:sz w:val="25"/>
          <w:szCs w:val="25"/>
          <w:shd w:val="clear" w:color="080000" w:fill="FFFFFF"/>
        </w:rPr>
        <w:t>%。负债合计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167543.2万</w:t>
      </w:r>
      <w:r>
        <w:rPr>
          <w:rFonts w:hint="eastAsia" w:ascii="Microsoft YaHei UI" w:hAnsi="Microsoft YaHei UI" w:eastAsia="Microsoft YaHei UI" w:cs="Microsoft YaHei UI"/>
          <w:b w:val="0"/>
          <w:i w:val="0"/>
          <w:caps w:val="0"/>
          <w:color w:val="333333"/>
          <w:spacing w:val="8"/>
          <w:sz w:val="25"/>
          <w:szCs w:val="25"/>
          <w:shd w:val="clear" w:color="080000" w:fill="FFFFFF"/>
        </w:rPr>
        <w:t>元。全年实现营业收入</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31835.9万</w:t>
      </w:r>
      <w:r>
        <w:rPr>
          <w:rFonts w:hint="eastAsia" w:ascii="Microsoft YaHei UI" w:hAnsi="Microsoft YaHei UI" w:eastAsia="Microsoft YaHei UI" w:cs="Microsoft YaHei UI"/>
          <w:b w:val="0"/>
          <w:i w:val="0"/>
          <w:caps w:val="0"/>
          <w:color w:val="333333"/>
          <w:spacing w:val="8"/>
          <w:sz w:val="25"/>
          <w:szCs w:val="25"/>
          <w:shd w:val="clear" w:color="080000" w:fill="FFFFFF"/>
        </w:rPr>
        <w:t>元（详见表4-16）。</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675"/>
        <w:gridCol w:w="7"/>
        <w:gridCol w:w="1532"/>
        <w:gridCol w:w="7"/>
        <w:gridCol w:w="1532"/>
        <w:gridCol w:w="7"/>
        <w:gridCol w:w="1532"/>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8299" w:type="dxa"/>
            <w:gridSpan w:val="8"/>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表</w:t>
            </w:r>
            <w:r>
              <w:rPr>
                <w:b/>
                <w:bCs/>
                <w:kern w:val="0"/>
                <w:sz w:val="24"/>
              </w:rPr>
              <w:t>4-1</w:t>
            </w:r>
            <w:r>
              <w:rPr>
                <w:rFonts w:hint="eastAsia"/>
                <w:b/>
                <w:bCs/>
                <w:kern w:val="0"/>
                <w:sz w:val="24"/>
                <w:lang w:val="en-US" w:eastAsia="zh-CN"/>
              </w:rPr>
              <w:t>4</w:t>
            </w:r>
            <w:r>
              <w:rPr>
                <w:rFonts w:hint="eastAsia" w:ascii="宋体" w:hAnsi="宋体" w:cs="宋体"/>
                <w:b/>
                <w:bCs/>
                <w:kern w:val="0"/>
                <w:sz w:val="24"/>
              </w:rPr>
              <w:t>　按行业中类分组的房地产业企业法人单位主要经济</w:t>
            </w:r>
            <w:r>
              <w:rPr>
                <w:rFonts w:ascii="宋体" w:hAnsi="宋体" w:cs="宋体"/>
                <w:b/>
                <w:bCs/>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3682" w:type="dxa"/>
            <w:gridSpan w:val="2"/>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cs="宋体"/>
                <w:b/>
                <w:kern w:val="0"/>
                <w:sz w:val="18"/>
                <w:szCs w:val="18"/>
              </w:rPr>
            </w:pPr>
            <w:r>
              <w:rPr>
                <w:rFonts w:hint="eastAsia" w:ascii="宋体" w:hAnsi="宋体" w:cs="宋体"/>
                <w:b/>
                <w:kern w:val="0"/>
                <w:szCs w:val="21"/>
              </w:rPr>
              <w:t>　</w:t>
            </w: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w:t>
            </w:r>
            <w:r>
              <w:rPr>
                <w:rFonts w:ascii="宋体" w:hAnsi="宋体" w:cs="宋体"/>
                <w:b/>
                <w:kern w:val="0"/>
                <w:szCs w:val="21"/>
              </w:rPr>
              <w:t>总计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营业收入</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539" w:type="dxa"/>
            <w:gridSpan w:val="2"/>
            <w:tcBorders>
              <w:top w:val="single" w:color="auto" w:sz="4" w:space="0"/>
              <w:left w:val="single" w:color="auto" w:sz="4" w:space="0"/>
              <w:bottom w:val="nil"/>
              <w:right w:val="single" w:color="auto" w:sz="4" w:space="0"/>
            </w:tcBorders>
            <w:vAlign w:val="top"/>
          </w:tcPr>
          <w:p>
            <w:pPr>
              <w:jc w:val="center"/>
              <w:rPr>
                <w:rFonts w:hint="eastAsia" w:eastAsia="宋体"/>
                <w:b/>
                <w:strike w:val="0"/>
                <w:dstrike w:val="0"/>
                <w:lang w:val="en-US" w:eastAsia="zh-CN"/>
              </w:rPr>
            </w:pPr>
            <w:r>
              <w:rPr>
                <w:rFonts w:hint="eastAsia"/>
                <w:b/>
                <w:strike w:val="0"/>
                <w:dstrike w:val="0"/>
                <w:lang w:val="en-US" w:eastAsia="zh-CN"/>
              </w:rPr>
              <w:t>201136.1</w:t>
            </w:r>
          </w:p>
        </w:tc>
        <w:tc>
          <w:tcPr>
            <w:tcW w:w="1539" w:type="dxa"/>
            <w:gridSpan w:val="2"/>
            <w:tcBorders>
              <w:top w:val="single" w:color="auto" w:sz="4" w:space="0"/>
              <w:left w:val="single" w:color="auto" w:sz="4" w:space="0"/>
              <w:bottom w:val="nil"/>
              <w:right w:val="single" w:color="auto" w:sz="4" w:space="0"/>
            </w:tcBorders>
            <w:vAlign w:val="top"/>
          </w:tcPr>
          <w:p>
            <w:pPr>
              <w:jc w:val="center"/>
              <w:rPr>
                <w:rFonts w:hint="eastAsia" w:eastAsia="宋体"/>
                <w:b/>
                <w:strike w:val="0"/>
                <w:dstrike w:val="0"/>
                <w:lang w:val="en-US" w:eastAsia="zh-CN"/>
              </w:rPr>
            </w:pPr>
            <w:r>
              <w:rPr>
                <w:rFonts w:hint="eastAsia"/>
                <w:b/>
                <w:strike w:val="0"/>
                <w:dstrike w:val="0"/>
                <w:lang w:val="en-US" w:eastAsia="zh-CN"/>
              </w:rPr>
              <w:t>167543.2</w:t>
            </w:r>
          </w:p>
        </w:tc>
        <w:tc>
          <w:tcPr>
            <w:tcW w:w="1539" w:type="dxa"/>
            <w:gridSpan w:val="2"/>
            <w:tcBorders>
              <w:top w:val="single" w:color="auto" w:sz="4" w:space="0"/>
              <w:left w:val="single" w:color="auto" w:sz="4" w:space="0"/>
              <w:bottom w:val="nil"/>
              <w:right w:val="nil"/>
            </w:tcBorders>
            <w:vAlign w:val="top"/>
          </w:tcPr>
          <w:p>
            <w:pPr>
              <w:jc w:val="center"/>
              <w:rPr>
                <w:rFonts w:hint="eastAsia" w:eastAsia="宋体"/>
                <w:b/>
                <w:strike w:val="0"/>
                <w:dstrike w:val="0"/>
                <w:lang w:val="en-US" w:eastAsia="zh-CN"/>
              </w:rPr>
            </w:pPr>
            <w:r>
              <w:rPr>
                <w:rFonts w:hint="eastAsia"/>
                <w:strike w:val="0"/>
                <w:dstrike w:val="0"/>
                <w:lang w:val="en-US" w:eastAsia="zh-CN"/>
              </w:rPr>
              <w:t>31835.9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房地产开发经营</w:t>
            </w:r>
          </w:p>
        </w:tc>
        <w:tc>
          <w:tcPr>
            <w:tcW w:w="1539" w:type="dxa"/>
            <w:gridSpan w:val="2"/>
            <w:tcBorders>
              <w:top w:val="nil"/>
              <w:left w:val="single" w:color="auto" w:sz="4" w:space="0"/>
              <w:bottom w:val="nil"/>
              <w:right w:val="single" w:color="auto" w:sz="4" w:space="0"/>
            </w:tcBorders>
            <w:vAlign w:val="top"/>
          </w:tcPr>
          <w:p>
            <w:pPr>
              <w:jc w:val="center"/>
              <w:rPr>
                <w:rFonts w:hint="eastAsia" w:eastAsia="宋体"/>
                <w:strike w:val="0"/>
                <w:dstrike w:val="0"/>
                <w:lang w:val="en-US" w:eastAsia="zh-CN"/>
              </w:rPr>
            </w:pPr>
            <w:r>
              <w:rPr>
                <w:rFonts w:hint="eastAsia"/>
                <w:strike w:val="0"/>
                <w:dstrike w:val="0"/>
                <w:lang w:val="en-US" w:eastAsia="zh-CN"/>
              </w:rPr>
              <w:t>201136.1</w:t>
            </w:r>
          </w:p>
        </w:tc>
        <w:tc>
          <w:tcPr>
            <w:tcW w:w="1539" w:type="dxa"/>
            <w:gridSpan w:val="2"/>
            <w:tcBorders>
              <w:top w:val="nil"/>
              <w:left w:val="single" w:color="auto" w:sz="4" w:space="0"/>
              <w:bottom w:val="nil"/>
              <w:right w:val="single" w:color="auto" w:sz="4" w:space="0"/>
            </w:tcBorders>
            <w:vAlign w:val="top"/>
          </w:tcPr>
          <w:p>
            <w:pPr>
              <w:jc w:val="center"/>
              <w:rPr>
                <w:rFonts w:hint="eastAsia" w:eastAsia="宋体"/>
                <w:strike w:val="0"/>
                <w:dstrike w:val="0"/>
                <w:lang w:val="en-US" w:eastAsia="zh-CN"/>
              </w:rPr>
            </w:pPr>
            <w:r>
              <w:rPr>
                <w:rFonts w:hint="eastAsia"/>
                <w:strike w:val="0"/>
                <w:dstrike w:val="0"/>
                <w:lang w:val="en-US" w:eastAsia="zh-CN"/>
              </w:rPr>
              <w:t>167543</w:t>
            </w:r>
          </w:p>
        </w:tc>
        <w:tc>
          <w:tcPr>
            <w:tcW w:w="1539" w:type="dxa"/>
            <w:gridSpan w:val="2"/>
            <w:tcBorders>
              <w:top w:val="nil"/>
              <w:left w:val="single" w:color="auto" w:sz="4" w:space="0"/>
              <w:bottom w:val="nil"/>
              <w:right w:val="nil"/>
            </w:tcBorders>
            <w:vAlign w:val="top"/>
          </w:tcPr>
          <w:p>
            <w:pPr>
              <w:jc w:val="center"/>
              <w:rPr>
                <w:rFonts w:hint="eastAsia" w:eastAsia="宋体"/>
                <w:strike w:val="0"/>
                <w:dstrike w:val="0"/>
                <w:lang w:val="en-US" w:eastAsia="zh-CN"/>
              </w:rPr>
            </w:pPr>
            <w:r>
              <w:rPr>
                <w:rFonts w:hint="eastAsia"/>
                <w:strike w:val="0"/>
                <w:dstrike w:val="0"/>
                <w:lang w:val="en-US" w:eastAsia="zh-CN"/>
              </w:rPr>
              <w:t>31835.9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物业管理</w:t>
            </w:r>
          </w:p>
        </w:tc>
        <w:tc>
          <w:tcPr>
            <w:tcW w:w="1539" w:type="dxa"/>
            <w:gridSpan w:val="2"/>
            <w:tcBorders>
              <w:top w:val="nil"/>
              <w:left w:val="single" w:color="auto" w:sz="4" w:space="0"/>
              <w:bottom w:val="nil"/>
              <w:right w:val="single" w:color="auto" w:sz="4" w:space="0"/>
            </w:tcBorders>
            <w:vAlign w:val="top"/>
          </w:tcPr>
          <w:p>
            <w:pPr>
              <w:jc w:val="center"/>
              <w:rPr>
                <w:rFonts w:hint="eastAsia" w:eastAsia="宋体"/>
                <w:strike w:val="0"/>
                <w:dstrike w:val="0"/>
                <w:lang w:val="en-US" w:eastAsia="zh-CN"/>
              </w:rPr>
            </w:pPr>
          </w:p>
        </w:tc>
        <w:tc>
          <w:tcPr>
            <w:tcW w:w="1539" w:type="dxa"/>
            <w:gridSpan w:val="2"/>
            <w:tcBorders>
              <w:top w:val="nil"/>
              <w:left w:val="single" w:color="auto" w:sz="4" w:space="0"/>
              <w:bottom w:val="nil"/>
              <w:right w:val="single" w:color="auto" w:sz="4" w:space="0"/>
            </w:tcBorders>
            <w:vAlign w:val="top"/>
          </w:tcPr>
          <w:p>
            <w:pPr>
              <w:jc w:val="both"/>
              <w:rPr>
                <w:rFonts w:hint="eastAsia" w:eastAsia="宋体"/>
                <w:strike w:val="0"/>
                <w:dstrike w:val="0"/>
                <w:lang w:val="en-US" w:eastAsia="zh-CN"/>
              </w:rPr>
            </w:pPr>
          </w:p>
        </w:tc>
        <w:tc>
          <w:tcPr>
            <w:tcW w:w="1539" w:type="dxa"/>
            <w:gridSpan w:val="2"/>
            <w:tcBorders>
              <w:top w:val="nil"/>
              <w:left w:val="single" w:color="auto" w:sz="4" w:space="0"/>
              <w:bottom w:val="nil"/>
              <w:right w:val="nil"/>
            </w:tcBorders>
            <w:vAlign w:val="top"/>
          </w:tcPr>
          <w:p>
            <w:pPr>
              <w:jc w:val="center"/>
              <w:rPr>
                <w:rFonts w:hint="eastAsia" w:eastAsia="宋体"/>
                <w:strike w:val="0"/>
                <w:dstrike w:val="0"/>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房地产中介服务</w:t>
            </w:r>
          </w:p>
        </w:tc>
        <w:tc>
          <w:tcPr>
            <w:tcW w:w="1539" w:type="dxa"/>
            <w:gridSpan w:val="2"/>
            <w:tcBorders>
              <w:top w:val="nil"/>
              <w:left w:val="single" w:color="auto" w:sz="4" w:space="0"/>
              <w:bottom w:val="nil"/>
              <w:right w:val="single" w:color="auto" w:sz="4" w:space="0"/>
            </w:tcBorders>
            <w:vAlign w:val="top"/>
          </w:tcPr>
          <w:p>
            <w:pPr>
              <w:jc w:val="center"/>
              <w:rPr>
                <w:rFonts w:hint="eastAsia" w:eastAsia="宋体"/>
                <w:strike w:val="0"/>
                <w:dstrike w:val="0"/>
                <w:lang w:val="en-US" w:eastAsia="zh-CN"/>
              </w:rPr>
            </w:pPr>
          </w:p>
        </w:tc>
        <w:tc>
          <w:tcPr>
            <w:tcW w:w="1539" w:type="dxa"/>
            <w:gridSpan w:val="2"/>
            <w:tcBorders>
              <w:top w:val="nil"/>
              <w:left w:val="single" w:color="auto" w:sz="4" w:space="0"/>
              <w:bottom w:val="nil"/>
              <w:right w:val="single" w:color="auto" w:sz="4" w:space="0"/>
            </w:tcBorders>
            <w:vAlign w:val="top"/>
          </w:tcPr>
          <w:p>
            <w:pPr>
              <w:jc w:val="center"/>
              <w:rPr>
                <w:rFonts w:hint="eastAsia" w:eastAsia="宋体"/>
                <w:strike w:val="0"/>
                <w:dstrike w:val="0"/>
                <w:lang w:val="en-US" w:eastAsia="zh-CN"/>
              </w:rPr>
            </w:pPr>
          </w:p>
        </w:tc>
        <w:tc>
          <w:tcPr>
            <w:tcW w:w="1539" w:type="dxa"/>
            <w:gridSpan w:val="2"/>
            <w:tcBorders>
              <w:top w:val="nil"/>
              <w:left w:val="single" w:color="auto" w:sz="4" w:space="0"/>
              <w:bottom w:val="nil"/>
              <w:right w:val="nil"/>
            </w:tcBorders>
            <w:vAlign w:val="top"/>
          </w:tcPr>
          <w:p>
            <w:pPr>
              <w:jc w:val="center"/>
              <w:rPr>
                <w:rFonts w:hint="eastAsia" w:eastAsia="宋体"/>
                <w:strike w:val="0"/>
                <w:dstrike w:val="0"/>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房地产租赁经营</w:t>
            </w:r>
          </w:p>
        </w:tc>
        <w:tc>
          <w:tcPr>
            <w:tcW w:w="1539" w:type="dxa"/>
            <w:gridSpan w:val="2"/>
            <w:tcBorders>
              <w:top w:val="nil"/>
              <w:left w:val="single" w:color="auto" w:sz="4" w:space="0"/>
              <w:bottom w:val="nil"/>
              <w:right w:val="single" w:color="auto" w:sz="4" w:space="0"/>
            </w:tcBorders>
            <w:vAlign w:val="top"/>
          </w:tcPr>
          <w:p>
            <w:pPr>
              <w:jc w:val="center"/>
              <w:rPr>
                <w:rFonts w:hint="eastAsia" w:eastAsia="宋体"/>
                <w:strike w:val="0"/>
                <w:dstrike w:val="0"/>
                <w:lang w:val="en-US" w:eastAsia="zh-CN"/>
              </w:rPr>
            </w:pPr>
          </w:p>
        </w:tc>
        <w:tc>
          <w:tcPr>
            <w:tcW w:w="1539" w:type="dxa"/>
            <w:gridSpan w:val="2"/>
            <w:tcBorders>
              <w:top w:val="nil"/>
              <w:left w:val="single" w:color="auto" w:sz="4" w:space="0"/>
              <w:bottom w:val="nil"/>
              <w:right w:val="single" w:color="auto" w:sz="4" w:space="0"/>
            </w:tcBorders>
            <w:vAlign w:val="top"/>
          </w:tcPr>
          <w:p>
            <w:pPr>
              <w:jc w:val="center"/>
              <w:rPr>
                <w:rFonts w:hint="eastAsia" w:eastAsia="宋体"/>
                <w:strike w:val="0"/>
                <w:dstrike w:val="0"/>
                <w:lang w:val="en-US" w:eastAsia="zh-CN"/>
              </w:rPr>
            </w:pPr>
          </w:p>
        </w:tc>
        <w:tc>
          <w:tcPr>
            <w:tcW w:w="1539" w:type="dxa"/>
            <w:gridSpan w:val="2"/>
            <w:tcBorders>
              <w:top w:val="nil"/>
              <w:left w:val="single" w:color="auto" w:sz="4" w:space="0"/>
              <w:bottom w:val="nil"/>
              <w:right w:val="nil"/>
            </w:tcBorders>
            <w:vAlign w:val="top"/>
          </w:tcPr>
          <w:p>
            <w:pPr>
              <w:jc w:val="center"/>
              <w:rPr>
                <w:rFonts w:hint="eastAsia" w:eastAsia="宋体"/>
                <w:strike w:val="0"/>
                <w:dstrike w:val="0"/>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single" w:color="auto" w:sz="12" w:space="0"/>
              <w:right w:val="single" w:color="auto" w:sz="4" w:space="0"/>
            </w:tcBorders>
            <w:vAlign w:val="top"/>
          </w:tcPr>
          <w:p>
            <w:r>
              <w:rPr>
                <w:rFonts w:hint="eastAsia"/>
              </w:rPr>
              <w:t>　</w:t>
            </w:r>
            <w:r>
              <w:rPr>
                <w:rFonts w:hint="eastAsia" w:ascii="宋体" w:hAnsi="宋体" w:cs="宋体"/>
                <w:kern w:val="0"/>
                <w:szCs w:val="21"/>
              </w:rPr>
              <w:t>其他房地产业</w:t>
            </w:r>
          </w:p>
        </w:tc>
        <w:tc>
          <w:tcPr>
            <w:tcW w:w="1539" w:type="dxa"/>
            <w:gridSpan w:val="2"/>
            <w:tcBorders>
              <w:top w:val="nil"/>
              <w:left w:val="single" w:color="auto" w:sz="4" w:space="0"/>
              <w:bottom w:val="single" w:color="auto" w:sz="12" w:space="0"/>
              <w:right w:val="single" w:color="auto" w:sz="4" w:space="0"/>
            </w:tcBorders>
            <w:vAlign w:val="top"/>
          </w:tcPr>
          <w:p>
            <w:pPr>
              <w:jc w:val="center"/>
              <w:rPr>
                <w:rFonts w:hint="eastAsia" w:eastAsia="宋体"/>
                <w:lang w:val="en-US" w:eastAsia="zh-CN"/>
              </w:rPr>
            </w:pPr>
          </w:p>
        </w:tc>
        <w:tc>
          <w:tcPr>
            <w:tcW w:w="1539" w:type="dxa"/>
            <w:gridSpan w:val="2"/>
            <w:tcBorders>
              <w:top w:val="nil"/>
              <w:left w:val="single" w:color="auto" w:sz="4" w:space="0"/>
              <w:bottom w:val="single" w:color="auto" w:sz="12" w:space="0"/>
              <w:right w:val="single" w:color="auto" w:sz="4" w:space="0"/>
            </w:tcBorders>
            <w:vAlign w:val="top"/>
          </w:tcPr>
          <w:p>
            <w:pPr>
              <w:jc w:val="center"/>
              <w:rPr>
                <w:rFonts w:hint="eastAsia" w:eastAsia="宋体"/>
                <w:lang w:val="en-US" w:eastAsia="zh-CN"/>
              </w:rPr>
            </w:pPr>
          </w:p>
        </w:tc>
        <w:tc>
          <w:tcPr>
            <w:tcW w:w="1539" w:type="dxa"/>
            <w:gridSpan w:val="2"/>
            <w:tcBorders>
              <w:top w:val="nil"/>
              <w:left w:val="single" w:color="auto" w:sz="4" w:space="0"/>
              <w:bottom w:val="single" w:color="auto" w:sz="12" w:space="0"/>
              <w:right w:val="nil"/>
            </w:tcBorders>
            <w:vAlign w:val="top"/>
          </w:tcPr>
          <w:p>
            <w:pPr>
              <w:jc w:val="center"/>
              <w:rPr>
                <w:rFonts w:hint="eastAsia" w:eastAsia="宋体"/>
                <w:lang w:val="en-US" w:eastAsia="zh-CN"/>
              </w:rPr>
            </w:pPr>
          </w:p>
        </w:tc>
      </w:tr>
    </w:tbl>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ind w:right="0" w:firstLine="532" w:firstLineChars="200"/>
        <w:jc w:val="both"/>
        <w:textAlignment w:val="baseline"/>
        <w:rPr>
          <w:rFonts w:hint="eastAsia" w:ascii="Microsoft YaHei UI" w:hAnsi="Microsoft YaHei UI" w:eastAsia="Microsoft YaHei UI" w:cs="Microsoft YaHei UI"/>
          <w:spacing w:val="8"/>
        </w:rPr>
      </w:pPr>
      <w:r>
        <w:rPr>
          <w:rFonts w:hint="eastAsia" w:ascii="黑体" w:hAnsi="宋体" w:eastAsia="黑体" w:cs="黑体"/>
          <w:b w:val="0"/>
          <w:i w:val="0"/>
          <w:caps w:val="0"/>
          <w:color w:val="333333"/>
          <w:spacing w:val="8"/>
          <w:sz w:val="25"/>
          <w:szCs w:val="25"/>
          <w:shd w:val="clear" w:color="080000" w:fill="FFFFFF"/>
          <w:lang w:eastAsia="zh-CN"/>
        </w:rPr>
        <w:t>六</w:t>
      </w:r>
      <w:r>
        <w:rPr>
          <w:rFonts w:hint="eastAsia" w:ascii="黑体" w:hAnsi="宋体" w:eastAsia="黑体" w:cs="黑体"/>
          <w:b w:val="0"/>
          <w:i w:val="0"/>
          <w:caps w:val="0"/>
          <w:color w:val="333333"/>
          <w:spacing w:val="8"/>
          <w:sz w:val="25"/>
          <w:szCs w:val="25"/>
          <w:shd w:val="clear" w:color="080000" w:fill="FFFFFF"/>
        </w:rPr>
        <w:t>、租赁和商务服务业</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（一）企业法人单位数和从业人员。</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2018年末，全</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县</w:t>
      </w:r>
      <w:r>
        <w:rPr>
          <w:rFonts w:hint="eastAsia" w:ascii="Microsoft YaHei UI" w:hAnsi="Microsoft YaHei UI" w:eastAsia="Microsoft YaHei UI" w:cs="Microsoft YaHei UI"/>
          <w:b w:val="0"/>
          <w:i w:val="0"/>
          <w:caps w:val="0"/>
          <w:color w:val="333333"/>
          <w:spacing w:val="8"/>
          <w:sz w:val="25"/>
          <w:szCs w:val="25"/>
          <w:shd w:val="clear" w:color="080000" w:fill="FFFFFF"/>
        </w:rPr>
        <w:t>共有租赁和商务服务业企业法人单位</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50</w:t>
      </w:r>
      <w:r>
        <w:rPr>
          <w:rFonts w:hint="eastAsia" w:ascii="Microsoft YaHei UI" w:hAnsi="Microsoft YaHei UI" w:eastAsia="Microsoft YaHei UI" w:cs="Microsoft YaHei UI"/>
          <w:b w:val="0"/>
          <w:i w:val="0"/>
          <w:caps w:val="0"/>
          <w:color w:val="333333"/>
          <w:spacing w:val="8"/>
          <w:sz w:val="25"/>
          <w:szCs w:val="25"/>
          <w:shd w:val="clear" w:color="080000" w:fill="FFFFFF"/>
        </w:rPr>
        <w:t>个，从业人员</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727</w:t>
      </w:r>
      <w:r>
        <w:rPr>
          <w:rFonts w:hint="eastAsia" w:ascii="Microsoft YaHei UI" w:hAnsi="Microsoft YaHei UI" w:eastAsia="Microsoft YaHei UI" w:cs="Microsoft YaHei UI"/>
          <w:b w:val="0"/>
          <w:i w:val="0"/>
          <w:caps w:val="0"/>
          <w:color w:val="333333"/>
          <w:spacing w:val="8"/>
          <w:sz w:val="25"/>
          <w:szCs w:val="25"/>
          <w:shd w:val="clear" w:color="080000" w:fill="FFFFFF"/>
        </w:rPr>
        <w:t>人，分别比2013年末增长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92.31</w:t>
      </w:r>
      <w:r>
        <w:rPr>
          <w:rFonts w:hint="eastAsia" w:ascii="Microsoft YaHei UI" w:hAnsi="Microsoft YaHei UI" w:eastAsia="Microsoft YaHei UI" w:cs="Microsoft YaHei UI"/>
          <w:b w:val="0"/>
          <w:i w:val="0"/>
          <w:caps w:val="0"/>
          <w:color w:val="333333"/>
          <w:spacing w:val="8"/>
          <w:sz w:val="25"/>
          <w:szCs w:val="25"/>
          <w:shd w:val="clear" w:color="080000" w:fill="FFFFFF"/>
        </w:rPr>
        <w:t>%和</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239.72</w:t>
      </w:r>
      <w:r>
        <w:rPr>
          <w:rFonts w:hint="eastAsia" w:ascii="Microsoft YaHei UI" w:hAnsi="Microsoft YaHei UI" w:eastAsia="Microsoft YaHei UI" w:cs="Microsoft YaHei UI"/>
          <w:b w:val="0"/>
          <w:i w:val="0"/>
          <w:caps w:val="0"/>
          <w:color w:val="333333"/>
          <w:spacing w:val="8"/>
          <w:sz w:val="25"/>
          <w:szCs w:val="25"/>
          <w:shd w:val="clear" w:color="080000" w:fill="FFFFFF"/>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在租赁和商务服务业企业法人单位中，租赁业占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20</w:t>
      </w:r>
      <w:r>
        <w:rPr>
          <w:rFonts w:hint="eastAsia" w:ascii="Microsoft YaHei UI" w:hAnsi="Microsoft YaHei UI" w:eastAsia="Microsoft YaHei UI" w:cs="Microsoft YaHei UI"/>
          <w:b w:val="0"/>
          <w:i w:val="0"/>
          <w:caps w:val="0"/>
          <w:color w:val="333333"/>
          <w:spacing w:val="8"/>
          <w:sz w:val="25"/>
          <w:szCs w:val="25"/>
          <w:shd w:val="clear" w:color="080000" w:fill="FFFFFF"/>
        </w:rPr>
        <w:t>%，商务服务业占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80</w:t>
      </w:r>
      <w:r>
        <w:rPr>
          <w:rFonts w:hint="eastAsia" w:ascii="Microsoft YaHei UI" w:hAnsi="Microsoft YaHei UI" w:eastAsia="Microsoft YaHei UI" w:cs="Microsoft YaHei UI"/>
          <w:b w:val="0"/>
          <w:i w:val="0"/>
          <w:caps w:val="0"/>
          <w:color w:val="333333"/>
          <w:spacing w:val="8"/>
          <w:sz w:val="25"/>
          <w:szCs w:val="25"/>
          <w:shd w:val="clear" w:color="080000" w:fill="FFFFFF"/>
        </w:rPr>
        <w:t>%。在租赁和商务服务业企业法人单位从业人员中，租赁业占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6.05</w:t>
      </w:r>
      <w:r>
        <w:rPr>
          <w:rFonts w:hint="eastAsia" w:ascii="Microsoft YaHei UI" w:hAnsi="Microsoft YaHei UI" w:eastAsia="Microsoft YaHei UI" w:cs="Microsoft YaHei UI"/>
          <w:b w:val="0"/>
          <w:i w:val="0"/>
          <w:caps w:val="0"/>
          <w:color w:val="333333"/>
          <w:spacing w:val="8"/>
          <w:sz w:val="25"/>
          <w:szCs w:val="25"/>
          <w:shd w:val="clear" w:color="080000" w:fill="FFFFFF"/>
        </w:rPr>
        <w:t>%，商务服务业占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93.45</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%（详见表4-17）。</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377"/>
        <w:gridCol w:w="2557"/>
        <w:gridCol w:w="2346"/>
        <w:gridCol w:w="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9" w:type="dxa"/>
          <w:trHeight w:val="567" w:hRule="atLeast"/>
          <w:jc w:val="center"/>
        </w:trPr>
        <w:tc>
          <w:tcPr>
            <w:tcW w:w="8287"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4-1</w:t>
            </w:r>
            <w:r>
              <w:rPr>
                <w:rFonts w:hint="eastAsia"/>
                <w:b/>
                <w:bCs/>
                <w:kern w:val="0"/>
                <w:sz w:val="24"/>
                <w:lang w:val="en-US" w:eastAsia="zh-CN"/>
              </w:rPr>
              <w:t>5</w:t>
            </w:r>
            <w:r>
              <w:rPr>
                <w:rFonts w:hint="eastAsia" w:ascii="宋体" w:hAnsi="宋体" w:cs="宋体"/>
                <w:b/>
                <w:bCs/>
                <w:kern w:val="0"/>
                <w:sz w:val="24"/>
              </w:rPr>
              <w:t>　按行业大类分组的租赁和商务服务业企业法人单位和从业人员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384"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kern w:val="0"/>
                <w:sz w:val="18"/>
                <w:szCs w:val="18"/>
              </w:rPr>
            </w:pPr>
            <w:r>
              <w:rPr>
                <w:kern w:val="0"/>
                <w:szCs w:val="21"/>
              </w:rPr>
              <w:t> </w:t>
            </w:r>
          </w:p>
        </w:tc>
        <w:tc>
          <w:tcPr>
            <w:tcW w:w="2557"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企业法人单位（个）</w:t>
            </w:r>
          </w:p>
        </w:tc>
        <w:tc>
          <w:tcPr>
            <w:tcW w:w="2365"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557" w:type="dxa"/>
            <w:tcBorders>
              <w:top w:val="single" w:color="auto" w:sz="4" w:space="0"/>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b/>
                <w:strike/>
                <w:dstrike w:val="0"/>
                <w:kern w:val="0"/>
                <w:sz w:val="18"/>
                <w:szCs w:val="18"/>
                <w:lang w:val="en-US" w:eastAsia="zh-CN"/>
              </w:rPr>
            </w:pPr>
            <w:r>
              <w:rPr>
                <w:rFonts w:hint="eastAsia" w:ascii="宋体" w:hAnsi="宋体" w:cs="宋体"/>
                <w:b/>
                <w:strike w:val="0"/>
                <w:dstrike w:val="0"/>
                <w:kern w:val="0"/>
                <w:sz w:val="18"/>
                <w:szCs w:val="18"/>
                <w:lang w:val="en-US" w:eastAsia="zh-CN"/>
              </w:rPr>
              <w:t>50</w:t>
            </w:r>
          </w:p>
        </w:tc>
        <w:tc>
          <w:tcPr>
            <w:tcW w:w="2365" w:type="dxa"/>
            <w:gridSpan w:val="2"/>
            <w:tcBorders>
              <w:top w:val="single" w:color="auto" w:sz="4" w:space="0"/>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b/>
                <w:strike/>
                <w:dstrike w:val="0"/>
                <w:kern w:val="0"/>
                <w:sz w:val="18"/>
                <w:szCs w:val="18"/>
                <w:lang w:val="en-US" w:eastAsia="zh-CN"/>
              </w:rPr>
            </w:pPr>
            <w:r>
              <w:rPr>
                <w:rFonts w:hint="eastAsia" w:ascii="宋体" w:hAnsi="宋体" w:cs="宋体"/>
                <w:b/>
                <w:strike w:val="0"/>
                <w:dstrike w:val="0"/>
                <w:kern w:val="0"/>
                <w:sz w:val="18"/>
                <w:szCs w:val="18"/>
                <w:lang w:val="en-US" w:eastAsia="zh-CN"/>
              </w:rPr>
              <w:t>727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租赁业</w:t>
            </w:r>
          </w:p>
        </w:tc>
        <w:tc>
          <w:tcPr>
            <w:tcW w:w="2557" w:type="dxa"/>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10</w:t>
            </w:r>
          </w:p>
        </w:tc>
        <w:tc>
          <w:tcPr>
            <w:tcW w:w="2365" w:type="dxa"/>
            <w:gridSpan w:val="2"/>
            <w:tcBorders>
              <w:top w:val="nil"/>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商务服务业</w:t>
            </w:r>
          </w:p>
        </w:tc>
        <w:tc>
          <w:tcPr>
            <w:tcW w:w="2557" w:type="dxa"/>
            <w:tcBorders>
              <w:top w:val="nil"/>
              <w:left w:val="single" w:color="auto" w:sz="4" w:space="0"/>
              <w:bottom w:val="single" w:color="auto" w:sz="12" w:space="0"/>
              <w:right w:val="single" w:color="auto" w:sz="4" w:space="0"/>
            </w:tcBorders>
            <w:vAlign w:val="center"/>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40</w:t>
            </w:r>
          </w:p>
        </w:tc>
        <w:tc>
          <w:tcPr>
            <w:tcW w:w="2365" w:type="dxa"/>
            <w:gridSpan w:val="2"/>
            <w:tcBorders>
              <w:top w:val="nil"/>
              <w:left w:val="single" w:color="auto" w:sz="4" w:space="0"/>
              <w:bottom w:val="single" w:color="auto" w:sz="12" w:space="0"/>
              <w:right w:val="nil"/>
            </w:tcBorders>
            <w:vAlign w:val="center"/>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683</w:t>
            </w: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在租赁和商务服务业企业法人单位中，内资企业占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在租赁和商务服务业企业法人单位从业人员中，内资企业占</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100</w:t>
      </w:r>
      <w:r>
        <w:rPr>
          <w:rFonts w:hint="eastAsia" w:ascii="Microsoft YaHei UI" w:hAnsi="Microsoft YaHei UI" w:eastAsia="Microsoft YaHei UI" w:cs="Microsoft YaHei UI"/>
          <w:b w:val="0"/>
          <w:i w:val="0"/>
          <w:caps w:val="0"/>
          <w:color w:val="333333"/>
          <w:spacing w:val="8"/>
          <w:sz w:val="25"/>
          <w:szCs w:val="25"/>
          <w:shd w:val="clear" w:color="080000" w:fill="FFFFFF"/>
        </w:rPr>
        <w:t>%（详见表4-18）。</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377"/>
        <w:gridCol w:w="2556"/>
        <w:gridCol w:w="2344"/>
        <w:gridCol w:w="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22" w:type="dxa"/>
          <w:trHeight w:val="567" w:hRule="atLeast"/>
          <w:jc w:val="center"/>
        </w:trPr>
        <w:tc>
          <w:tcPr>
            <w:tcW w:w="8284"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4-1</w:t>
            </w:r>
            <w:r>
              <w:rPr>
                <w:rFonts w:hint="eastAsia"/>
                <w:b/>
                <w:bCs/>
                <w:kern w:val="0"/>
                <w:sz w:val="24"/>
                <w:lang w:val="en-US" w:eastAsia="zh-CN"/>
              </w:rPr>
              <w:t>6</w:t>
            </w:r>
            <w:r>
              <w:rPr>
                <w:rFonts w:hint="eastAsia" w:ascii="宋体" w:hAnsi="宋体" w:cs="宋体"/>
                <w:b/>
                <w:bCs/>
                <w:kern w:val="0"/>
                <w:sz w:val="24"/>
              </w:rPr>
              <w:t>　按登记注册类型分组的租赁和商务服务业企业法人单位和从业人员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384"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b/>
                <w:kern w:val="0"/>
                <w:szCs w:val="21"/>
              </w:rPr>
              <w:t> </w:t>
            </w:r>
          </w:p>
        </w:tc>
        <w:tc>
          <w:tcPr>
            <w:tcW w:w="2556"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w:t>
            </w:r>
            <w:r>
              <w:rPr>
                <w:b/>
                <w:kern w:val="0"/>
                <w:szCs w:val="21"/>
              </w:rPr>
              <w:t>(</w:t>
            </w:r>
            <w:r>
              <w:rPr>
                <w:rFonts w:hint="eastAsia" w:ascii="宋体" w:hAnsi="宋体" w:cs="宋体"/>
                <w:b/>
                <w:kern w:val="0"/>
                <w:szCs w:val="21"/>
              </w:rPr>
              <w:t>个</w:t>
            </w:r>
            <w:r>
              <w:rPr>
                <w:b/>
                <w:kern w:val="0"/>
                <w:szCs w:val="21"/>
              </w:rPr>
              <w:t>)</w:t>
            </w:r>
          </w:p>
        </w:tc>
        <w:tc>
          <w:tcPr>
            <w:tcW w:w="2366"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w:t>
            </w:r>
            <w:r>
              <w:rPr>
                <w:b/>
                <w:kern w:val="0"/>
                <w:szCs w:val="21"/>
              </w:rPr>
              <w:t>(</w:t>
            </w:r>
            <w:r>
              <w:rPr>
                <w:rFonts w:hint="eastAsia" w:ascii="宋体" w:hAnsi="宋体" w:cs="宋体"/>
                <w:b/>
                <w:kern w:val="0"/>
                <w:szCs w:val="21"/>
              </w:rPr>
              <w:t>人</w:t>
            </w:r>
            <w:r>
              <w:rPr>
                <w:b/>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556" w:type="dxa"/>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strike/>
                <w:dstrike w:val="0"/>
                <w:kern w:val="0"/>
                <w:sz w:val="18"/>
                <w:szCs w:val="18"/>
                <w:lang w:val="en-US" w:eastAsia="zh-CN"/>
              </w:rPr>
            </w:pPr>
            <w:r>
              <w:rPr>
                <w:rFonts w:hint="eastAsia" w:ascii="宋体" w:hAnsi="宋体" w:cs="宋体"/>
                <w:b/>
                <w:strike w:val="0"/>
                <w:dstrike w:val="0"/>
                <w:kern w:val="0"/>
                <w:sz w:val="18"/>
                <w:szCs w:val="18"/>
                <w:lang w:val="en-US" w:eastAsia="zh-CN"/>
              </w:rPr>
              <w:t>50</w:t>
            </w:r>
          </w:p>
        </w:tc>
        <w:tc>
          <w:tcPr>
            <w:tcW w:w="2366" w:type="dxa"/>
            <w:gridSpan w:val="2"/>
            <w:tcBorders>
              <w:top w:val="single" w:color="auto" w:sz="4" w:space="0"/>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strike/>
                <w:dstrike w:val="0"/>
                <w:kern w:val="0"/>
                <w:sz w:val="18"/>
                <w:szCs w:val="18"/>
                <w:lang w:val="en-US" w:eastAsia="zh-CN"/>
              </w:rPr>
            </w:pPr>
            <w:r>
              <w:rPr>
                <w:rFonts w:hint="eastAsia" w:ascii="宋体" w:hAnsi="宋体" w:cs="宋体"/>
                <w:b/>
                <w:strike w:val="0"/>
                <w:dstrike w:val="0"/>
                <w:kern w:val="0"/>
                <w:sz w:val="18"/>
                <w:szCs w:val="18"/>
                <w:lang w:val="en-US" w:eastAsia="zh-CN"/>
              </w:rPr>
              <w:t>727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内资企业</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strike w:val="0"/>
                <w:dstrike w:val="0"/>
                <w:kern w:val="0"/>
                <w:sz w:val="18"/>
                <w:szCs w:val="18"/>
                <w:lang w:val="en-US" w:eastAsia="zh-CN"/>
              </w:rPr>
            </w:pPr>
            <w:r>
              <w:rPr>
                <w:rFonts w:hint="eastAsia" w:ascii="宋体" w:hAnsi="宋体" w:cs="宋体"/>
                <w:b/>
                <w:strike w:val="0"/>
                <w:dstrike w:val="0"/>
                <w:kern w:val="0"/>
                <w:sz w:val="18"/>
                <w:szCs w:val="18"/>
                <w:lang w:val="en-US" w:eastAsia="zh-CN"/>
              </w:rPr>
              <w:t>50</w:t>
            </w: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strike w:val="0"/>
                <w:dstrike w:val="0"/>
                <w:kern w:val="0"/>
                <w:sz w:val="18"/>
                <w:szCs w:val="18"/>
                <w:lang w:val="en-US" w:eastAsia="zh-CN"/>
              </w:rPr>
            </w:pPr>
            <w:r>
              <w:rPr>
                <w:rFonts w:hint="eastAsia" w:ascii="宋体" w:hAnsi="宋体" w:cs="宋体"/>
                <w:b/>
                <w:strike w:val="0"/>
                <w:dstrike w:val="0"/>
                <w:kern w:val="0"/>
                <w:sz w:val="18"/>
                <w:szCs w:val="18"/>
                <w:lang w:val="en-US" w:eastAsia="zh-CN"/>
              </w:rPr>
              <w:t>727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firstLine="105" w:firstLineChars="50"/>
              <w:rPr>
                <w:rFonts w:ascii="宋体" w:hAnsi="宋体" w:cs="宋体"/>
                <w:kern w:val="0"/>
                <w:sz w:val="18"/>
                <w:szCs w:val="18"/>
              </w:rPr>
            </w:pPr>
            <w:r>
              <w:rPr>
                <w:rFonts w:hint="eastAsia" w:ascii="宋体" w:hAnsi="宋体" w:cs="宋体"/>
                <w:kern w:val="0"/>
                <w:szCs w:val="21"/>
              </w:rPr>
              <w:t>　　国有企业</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1</w:t>
            </w: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集体企业</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2</w:t>
            </w: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股份合作企业</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联营企业</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有限责任公司</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4</w:t>
            </w: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股份有限公司</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私营企业</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38</w:t>
            </w: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595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其他企业</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5</w:t>
            </w: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strike w:val="0"/>
                <w:dstrike w:val="0"/>
                <w:kern w:val="0"/>
                <w:sz w:val="18"/>
                <w:szCs w:val="18"/>
                <w:lang w:val="en-US" w:eastAsia="zh-CN"/>
              </w:rPr>
            </w:pPr>
            <w:r>
              <w:rPr>
                <w:rFonts w:hint="eastAsia" w:ascii="宋体" w:hAnsi="宋体" w:cs="宋体"/>
                <w:strike w:val="0"/>
                <w:dstrike w:val="0"/>
                <w:kern w:val="0"/>
                <w:sz w:val="18"/>
                <w:szCs w:val="18"/>
                <w:lang w:val="en-US" w:eastAsia="zh-CN"/>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港、澳、台商投资企业</w:t>
            </w:r>
          </w:p>
        </w:tc>
        <w:tc>
          <w:tcPr>
            <w:tcW w:w="2556"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strike w:val="0"/>
                <w:dstrike w:val="0"/>
                <w:kern w:val="0"/>
                <w:sz w:val="18"/>
                <w:szCs w:val="18"/>
                <w:lang w:val="en-US" w:eastAsia="zh-CN"/>
              </w:rPr>
            </w:pPr>
          </w:p>
        </w:tc>
        <w:tc>
          <w:tcPr>
            <w:tcW w:w="2366"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strike w:val="0"/>
                <w:dstrike w:val="0"/>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377"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外商投资企业</w:t>
            </w:r>
          </w:p>
        </w:tc>
        <w:tc>
          <w:tcPr>
            <w:tcW w:w="2556" w:type="dxa"/>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b/>
                <w:strike w:val="0"/>
                <w:dstrike w:val="0"/>
                <w:kern w:val="0"/>
                <w:sz w:val="18"/>
                <w:szCs w:val="18"/>
                <w:lang w:val="en-US" w:eastAsia="zh-CN"/>
              </w:rPr>
            </w:pPr>
          </w:p>
        </w:tc>
        <w:tc>
          <w:tcPr>
            <w:tcW w:w="2366" w:type="dxa"/>
            <w:gridSpan w:val="2"/>
            <w:tcBorders>
              <w:top w:val="nil"/>
              <w:left w:val="single" w:color="auto" w:sz="4" w:space="0"/>
              <w:bottom w:val="single" w:color="auto" w:sz="12" w:space="0"/>
              <w:right w:val="nil"/>
            </w:tcBorders>
            <w:vAlign w:val="top"/>
          </w:tcPr>
          <w:p>
            <w:pPr>
              <w:widowControl/>
              <w:spacing w:line="240" w:lineRule="atLeast"/>
              <w:ind w:left="57" w:right="57"/>
              <w:jc w:val="center"/>
              <w:rPr>
                <w:rFonts w:hint="eastAsia" w:ascii="宋体" w:hAnsi="宋体" w:eastAsia="宋体" w:cs="宋体"/>
                <w:b/>
                <w:strike w:val="0"/>
                <w:dstrike w:val="0"/>
                <w:kern w:val="0"/>
                <w:sz w:val="18"/>
                <w:szCs w:val="18"/>
                <w:lang w:val="en-US" w:eastAsia="zh-CN"/>
              </w:rPr>
            </w:pP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jc w:val="both"/>
        <w:textAlignment w:val="baseline"/>
        <w:rPr>
          <w:rFonts w:hint="eastAsia" w:ascii="Microsoft YaHei UI" w:hAnsi="Microsoft YaHei UI" w:eastAsia="Microsoft YaHei UI" w:cs="Microsoft YaHei UI"/>
          <w:b w:val="0"/>
          <w:i w:val="0"/>
          <w:caps w:val="0"/>
          <w:color w:val="333333"/>
          <w:spacing w:val="8"/>
          <w:sz w:val="25"/>
          <w:szCs w:val="25"/>
          <w:shd w:val="clear" w:color="080000" w:fill="FFFFFF"/>
        </w:rPr>
      </w:pP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32" w:firstLineChars="200"/>
        <w:jc w:val="left"/>
        <w:textAlignment w:val="baseline"/>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b w:val="0"/>
          <w:i w:val="0"/>
          <w:caps w:val="0"/>
          <w:color w:val="333333"/>
          <w:spacing w:val="8"/>
          <w:sz w:val="25"/>
          <w:szCs w:val="25"/>
          <w:shd w:val="clear" w:color="080000" w:fill="FFFFFF"/>
        </w:rPr>
        <w:t>2018年末，租赁和商务服务业企业法人单位资产总计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205841万</w:t>
      </w:r>
      <w:r>
        <w:rPr>
          <w:rFonts w:hint="eastAsia" w:ascii="Microsoft YaHei UI" w:hAnsi="Microsoft YaHei UI" w:eastAsia="Microsoft YaHei UI" w:cs="Microsoft YaHei UI"/>
          <w:b w:val="0"/>
          <w:i w:val="0"/>
          <w:caps w:val="0"/>
          <w:color w:val="333333"/>
          <w:spacing w:val="8"/>
          <w:sz w:val="25"/>
          <w:szCs w:val="25"/>
          <w:shd w:val="clear" w:color="080000" w:fill="FFFFFF"/>
        </w:rPr>
        <w:t>元，比2013年末增长</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1878</w:t>
      </w:r>
      <w:r>
        <w:rPr>
          <w:rFonts w:hint="eastAsia" w:ascii="Microsoft YaHei UI" w:hAnsi="Microsoft YaHei UI" w:eastAsia="Microsoft YaHei UI" w:cs="Microsoft YaHei UI"/>
          <w:b w:val="0"/>
          <w:i w:val="0"/>
          <w:caps w:val="0"/>
          <w:color w:val="333333"/>
          <w:spacing w:val="8"/>
          <w:sz w:val="25"/>
          <w:szCs w:val="25"/>
          <w:shd w:val="clear" w:color="080000" w:fill="FFFFFF"/>
        </w:rPr>
        <w:t>%。其中，租赁业企业法人单位资产总计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428.5</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万</w:t>
      </w:r>
      <w:r>
        <w:rPr>
          <w:rFonts w:hint="eastAsia" w:ascii="Microsoft YaHei UI" w:hAnsi="Microsoft YaHei UI" w:eastAsia="Microsoft YaHei UI" w:cs="Microsoft YaHei UI"/>
          <w:b w:val="0"/>
          <w:i w:val="0"/>
          <w:caps w:val="0"/>
          <w:color w:val="333333"/>
          <w:spacing w:val="8"/>
          <w:sz w:val="25"/>
          <w:szCs w:val="25"/>
          <w:shd w:val="clear" w:color="080000" w:fill="FFFFFF"/>
        </w:rPr>
        <w:t>元，商务服务业企业法人单位资产总计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205412.6</w:t>
      </w:r>
      <w:r>
        <w:rPr>
          <w:rFonts w:hint="eastAsia" w:ascii="Microsoft YaHei UI" w:hAnsi="Microsoft YaHei UI" w:eastAsia="Microsoft YaHei UI" w:cs="Microsoft YaHei UI"/>
          <w:b w:val="0"/>
          <w:i w:val="0"/>
          <w:caps w:val="0"/>
          <w:color w:val="333333"/>
          <w:spacing w:val="8"/>
          <w:sz w:val="25"/>
          <w:szCs w:val="25"/>
          <w:shd w:val="clear" w:color="080000" w:fill="FFFFFF"/>
          <w:lang w:eastAsia="zh-CN"/>
        </w:rPr>
        <w:t>万</w:t>
      </w:r>
      <w:r>
        <w:rPr>
          <w:rFonts w:hint="eastAsia" w:ascii="Microsoft YaHei UI" w:hAnsi="Microsoft YaHei UI" w:eastAsia="Microsoft YaHei UI" w:cs="Microsoft YaHei UI"/>
          <w:b w:val="0"/>
          <w:i w:val="0"/>
          <w:caps w:val="0"/>
          <w:color w:val="333333"/>
          <w:spacing w:val="8"/>
          <w:sz w:val="25"/>
          <w:szCs w:val="25"/>
          <w:shd w:val="clear" w:color="080000" w:fill="FFFFFF"/>
        </w:rPr>
        <w:t>元。负债合计</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85195.3万</w:t>
      </w:r>
      <w:r>
        <w:rPr>
          <w:rFonts w:hint="eastAsia" w:ascii="Microsoft YaHei UI" w:hAnsi="Microsoft YaHei UI" w:eastAsia="Microsoft YaHei UI" w:cs="Microsoft YaHei UI"/>
          <w:b w:val="0"/>
          <w:i w:val="0"/>
          <w:caps w:val="0"/>
          <w:color w:val="333333"/>
          <w:spacing w:val="8"/>
          <w:sz w:val="25"/>
          <w:szCs w:val="25"/>
          <w:shd w:val="clear" w:color="080000" w:fill="FFFFFF"/>
        </w:rPr>
        <w:t>元。全年实现营业收入</w:t>
      </w:r>
      <w:r>
        <w:rPr>
          <w:rFonts w:hint="eastAsia" w:ascii="Microsoft YaHei UI" w:hAnsi="Microsoft YaHei UI" w:eastAsia="Microsoft YaHei UI" w:cs="Microsoft YaHei UI"/>
          <w:b w:val="0"/>
          <w:i w:val="0"/>
          <w:caps w:val="0"/>
          <w:color w:val="333333"/>
          <w:spacing w:val="8"/>
          <w:sz w:val="25"/>
          <w:szCs w:val="25"/>
          <w:shd w:val="clear" w:color="080000" w:fill="FFFFFF"/>
          <w:lang w:val="en-US" w:eastAsia="zh-CN"/>
        </w:rPr>
        <w:t>4252.1万</w:t>
      </w:r>
      <w:r>
        <w:rPr>
          <w:rFonts w:hint="eastAsia" w:ascii="Microsoft YaHei UI" w:hAnsi="Microsoft YaHei UI" w:eastAsia="Microsoft YaHei UI" w:cs="Microsoft YaHei UI"/>
          <w:b w:val="0"/>
          <w:i w:val="0"/>
          <w:caps w:val="0"/>
          <w:color w:val="333333"/>
          <w:spacing w:val="8"/>
          <w:sz w:val="25"/>
          <w:szCs w:val="25"/>
          <w:shd w:val="clear" w:color="080000" w:fill="FFFFFF"/>
        </w:rPr>
        <w:t>元。（详见表4-19）。</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675"/>
        <w:gridCol w:w="7"/>
        <w:gridCol w:w="1532"/>
        <w:gridCol w:w="7"/>
        <w:gridCol w:w="1532"/>
        <w:gridCol w:w="7"/>
        <w:gridCol w:w="1532"/>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8299" w:type="dxa"/>
            <w:gridSpan w:val="8"/>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表</w:t>
            </w:r>
            <w:r>
              <w:rPr>
                <w:rFonts w:ascii="宋体" w:hAnsi="宋体" w:cs="宋体"/>
                <w:b/>
                <w:bCs/>
                <w:kern w:val="0"/>
                <w:sz w:val="24"/>
              </w:rPr>
              <w:t>4-1</w:t>
            </w:r>
            <w:r>
              <w:rPr>
                <w:rFonts w:hint="eastAsia" w:ascii="宋体" w:hAnsi="宋体" w:cs="宋体"/>
                <w:b/>
                <w:bCs/>
                <w:kern w:val="0"/>
                <w:sz w:val="24"/>
                <w:lang w:val="en-US" w:eastAsia="zh-CN"/>
              </w:rPr>
              <w:t>7</w:t>
            </w:r>
            <w:r>
              <w:rPr>
                <w:rFonts w:hint="eastAsia" w:ascii="宋体" w:hAnsi="宋体" w:cs="宋体"/>
                <w:b/>
                <w:bCs/>
                <w:kern w:val="0"/>
                <w:sz w:val="24"/>
              </w:rPr>
              <w:t>　按行业大类分组的租赁和商务服务业企业法人单位主要经济</w:t>
            </w:r>
            <w:r>
              <w:rPr>
                <w:rFonts w:ascii="宋体" w:hAnsi="宋体" w:cs="宋体"/>
                <w:b/>
                <w:bCs/>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3682" w:type="dxa"/>
            <w:gridSpan w:val="2"/>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cs="宋体"/>
                <w:b/>
                <w:kern w:val="0"/>
                <w:sz w:val="18"/>
                <w:szCs w:val="18"/>
              </w:rPr>
            </w:pPr>
            <w:r>
              <w:rPr>
                <w:rFonts w:hint="eastAsia" w:ascii="宋体" w:hAnsi="宋体" w:cs="宋体"/>
                <w:b/>
                <w:kern w:val="0"/>
                <w:szCs w:val="21"/>
              </w:rPr>
              <w:t>　</w:t>
            </w: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w:t>
            </w:r>
            <w:r>
              <w:rPr>
                <w:rFonts w:ascii="宋体" w:hAnsi="宋体" w:cs="宋体"/>
                <w:b/>
                <w:kern w:val="0"/>
                <w:szCs w:val="21"/>
              </w:rPr>
              <w:t>总计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营业收入</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539" w:type="dxa"/>
            <w:gridSpan w:val="2"/>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205841</w:t>
            </w:r>
          </w:p>
        </w:tc>
        <w:tc>
          <w:tcPr>
            <w:tcW w:w="1539" w:type="dxa"/>
            <w:gridSpan w:val="2"/>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85195.3</w:t>
            </w:r>
          </w:p>
        </w:tc>
        <w:tc>
          <w:tcPr>
            <w:tcW w:w="1539" w:type="dxa"/>
            <w:gridSpan w:val="2"/>
            <w:tcBorders>
              <w:top w:val="single" w:color="auto" w:sz="4" w:space="0"/>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4252.1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nil"/>
              <w:right w:val="single" w:color="auto" w:sz="4" w:space="0"/>
            </w:tcBorders>
            <w:vAlign w:val="center"/>
          </w:tcPr>
          <w:p>
            <w:r>
              <w:rPr>
                <w:rFonts w:hint="eastAsia" w:ascii="宋体" w:hAnsi="宋体" w:cs="宋体"/>
                <w:kern w:val="0"/>
                <w:szCs w:val="21"/>
              </w:rPr>
              <w:t>　租赁业</w:t>
            </w:r>
          </w:p>
        </w:tc>
        <w:tc>
          <w:tcPr>
            <w:tcW w:w="153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428.5</w:t>
            </w:r>
          </w:p>
        </w:tc>
        <w:tc>
          <w:tcPr>
            <w:tcW w:w="153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157.3</w:t>
            </w:r>
          </w:p>
        </w:tc>
        <w:tc>
          <w:tcPr>
            <w:tcW w:w="1539"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507.4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682" w:type="dxa"/>
            <w:gridSpan w:val="2"/>
            <w:tcBorders>
              <w:top w:val="nil"/>
              <w:left w:val="nil"/>
              <w:bottom w:val="single" w:color="auto" w:sz="12" w:space="0"/>
              <w:right w:val="single" w:color="auto" w:sz="4" w:space="0"/>
            </w:tcBorders>
            <w:vAlign w:val="top"/>
          </w:tcPr>
          <w:p>
            <w:r>
              <w:rPr>
                <w:rFonts w:hint="eastAsia"/>
              </w:rPr>
              <w:t>　</w:t>
            </w:r>
            <w:r>
              <w:rPr>
                <w:rFonts w:hint="eastAsia" w:ascii="宋体" w:hAnsi="宋体" w:cs="宋体"/>
                <w:kern w:val="0"/>
                <w:szCs w:val="21"/>
              </w:rPr>
              <w:t>商务服务业</w:t>
            </w:r>
          </w:p>
        </w:tc>
        <w:tc>
          <w:tcPr>
            <w:tcW w:w="1539" w:type="dxa"/>
            <w:gridSpan w:val="2"/>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205412.6</w:t>
            </w:r>
          </w:p>
        </w:tc>
        <w:tc>
          <w:tcPr>
            <w:tcW w:w="1539" w:type="dxa"/>
            <w:gridSpan w:val="2"/>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85037.9</w:t>
            </w:r>
          </w:p>
        </w:tc>
        <w:tc>
          <w:tcPr>
            <w:tcW w:w="1539" w:type="dxa"/>
            <w:gridSpan w:val="2"/>
            <w:tcBorders>
              <w:top w:val="nil"/>
              <w:left w:val="single" w:color="auto" w:sz="4" w:space="0"/>
              <w:bottom w:val="single" w:color="auto" w:sz="12" w:space="0"/>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3610</w:t>
            </w:r>
          </w:p>
        </w:tc>
      </w:tr>
    </w:tbl>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both"/>
        <w:textAlignment w:val="baseline"/>
        <w:rPr>
          <w:rFonts w:hint="eastAsia" w:ascii="Microsoft YaHei UI" w:hAnsi="Microsoft YaHei UI" w:eastAsia="Microsoft YaHei UI" w:cs="Microsoft YaHei UI"/>
          <w:spacing w:val="8"/>
        </w:rPr>
      </w:pPr>
      <w:r>
        <w:rPr>
          <w:rFonts w:ascii="楷体" w:hAnsi="楷体" w:eastAsia="楷体" w:cs="楷体"/>
          <w:b w:val="0"/>
          <w:i w:val="0"/>
          <w:caps w:val="0"/>
          <w:color w:val="333333"/>
          <w:spacing w:val="8"/>
          <w:sz w:val="22"/>
          <w:szCs w:val="22"/>
          <w:shd w:val="clear" w:color="080000" w:fill="FFFFFF"/>
        </w:rPr>
        <w:t>注释：</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r>
        <w:rPr>
          <w:rFonts w:hint="eastAsia" w:ascii="楷体" w:hAnsi="楷体" w:eastAsia="楷体" w:cs="楷体"/>
          <w:b w:val="0"/>
          <w:i w:val="0"/>
          <w:caps w:val="0"/>
          <w:color w:val="333333"/>
          <w:spacing w:val="8"/>
          <w:sz w:val="22"/>
          <w:szCs w:val="22"/>
          <w:shd w:val="clear" w:color="080000" w:fill="FFFFFF"/>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left"/>
        <w:textAlignment w:val="baseline"/>
        <w:rPr>
          <w:rFonts w:hint="eastAsia" w:ascii="Microsoft YaHei UI" w:hAnsi="Microsoft YaHei UI" w:eastAsia="Microsoft YaHei UI" w:cs="Microsoft YaHei UI"/>
          <w:spacing w:val="8"/>
        </w:rPr>
      </w:pPr>
      <w:r>
        <w:rPr>
          <w:rFonts w:hint="eastAsia" w:ascii="楷体" w:hAnsi="楷体" w:eastAsia="楷体" w:cs="楷体"/>
          <w:b w:val="0"/>
          <w:i w:val="0"/>
          <w:caps w:val="0"/>
          <w:color w:val="333333"/>
          <w:spacing w:val="8"/>
          <w:sz w:val="22"/>
          <w:szCs w:val="22"/>
          <w:shd w:val="clear" w:color="080000" w:fill="FFFFFF"/>
        </w:rPr>
        <w:t>[2]表中的合计数和部分计算数据因小数取舍而产生的误差，均未作机械调整。</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CA8F"/>
    <w:multiLevelType w:val="singleLevel"/>
    <w:tmpl w:val="2E6ECA8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074D6"/>
    <w:rsid w:val="1B9D45E4"/>
    <w:rsid w:val="1FD34C7F"/>
    <w:rsid w:val="2AC73C14"/>
    <w:rsid w:val="2B2754AF"/>
    <w:rsid w:val="309A52F0"/>
    <w:rsid w:val="37541CD5"/>
    <w:rsid w:val="3A9C369F"/>
    <w:rsid w:val="3B8B757C"/>
    <w:rsid w:val="41FE6A64"/>
    <w:rsid w:val="4ED649A7"/>
    <w:rsid w:val="4EEC58FB"/>
    <w:rsid w:val="4FD225FF"/>
    <w:rsid w:val="571F3D0E"/>
    <w:rsid w:val="591E37D4"/>
    <w:rsid w:val="5FEF4E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8">
    <w:name w:val="Default Paragraph Font"/>
    <w:semiHidden/>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0"/>
    <w:pPr>
      <w:spacing w:beforeLines="0" w:afterLines="0"/>
    </w:pPr>
    <w:rPr>
      <w:rFonts w:hint="default" w:ascii="Arial" w:hAnsi="Arial"/>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2020-02-03T00:55:00Z</dcterms:created>
  <dc:creator>lenovo</dc:creator>
  <cp:lastModifiedBy> </cp:lastModifiedBy>
  <dcterms:modified xsi:type="dcterms:W3CDTF">2020-08-06T08:24:51Z</dcterms:modified>
  <dc:title>琼中黎族苗族自治县第四次全国经济普查公报（第四号）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