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6"/>
          <w:sz w:val="32"/>
          <w:szCs w:val="32"/>
          <w:highlight w:val="none"/>
          <w:lang w:val="en-US" w:eastAsia="zh-CN"/>
        </w:rPr>
        <w:t>附件5</w:t>
      </w:r>
    </w:p>
    <w:p>
      <w:pPr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-US" w:eastAsia="zh-CN"/>
        </w:rPr>
        <w:t>琼中黎族苗族自治县城镇小区配建幼儿园使用不规范情况汇总表</w:t>
      </w:r>
    </w:p>
    <w:tbl>
      <w:tblPr>
        <w:tblStyle w:val="5"/>
        <w:tblpPr w:leftFromText="180" w:rightFromText="180" w:vertAnchor="text" w:horzAnchor="page" w:tblpXSpec="center" w:tblpY="378"/>
        <w:tblOverlap w:val="never"/>
        <w:tblW w:w="13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945"/>
        <w:gridCol w:w="840"/>
        <w:gridCol w:w="848"/>
        <w:gridCol w:w="884"/>
        <w:gridCol w:w="884"/>
        <w:gridCol w:w="1005"/>
        <w:gridCol w:w="616"/>
        <w:gridCol w:w="618"/>
        <w:gridCol w:w="616"/>
        <w:gridCol w:w="616"/>
        <w:gridCol w:w="721"/>
        <w:gridCol w:w="674"/>
        <w:gridCol w:w="674"/>
        <w:gridCol w:w="688"/>
        <w:gridCol w:w="675"/>
        <w:gridCol w:w="673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街道/乡镇名称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住宅小区名称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开发主体（政府、企业、个人、其他）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开发性质（商品房开发、棚户区改造、移民搬迁、其他）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配建幼儿园名称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配建幼儿园规模（人）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配建幼儿园建筑面积（m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幼儿园登记注册时间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办园性质（营利性/非营利性）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是否为普惠性民办幼儿园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房屋产权是否登记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保教费标准（元/月）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现有幼儿数</w:t>
            </w:r>
            <w:r>
              <w:rPr>
                <w:rFonts w:hint="eastAsia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（人）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拟采取的整改形式（公办园、普惠性民办幼儿园）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具体整改措施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整改完成时间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5000人及以上规模城镇小区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Times New Roman" w:hAnsi="Times New Roman" w:eastAsia="黑体" w:cs="Times New Roman"/>
          <w:spacing w:val="-6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D36A8"/>
    <w:rsid w:val="066D0D77"/>
    <w:rsid w:val="30D8545C"/>
    <w:rsid w:val="42E66126"/>
    <w:rsid w:val="6E112D3A"/>
    <w:rsid w:val="797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2019-07-12T09:37:00Z</dcterms:created>
  <dc:creator>振</dc:creator>
  <cp:lastModifiedBy>振</cp:lastModifiedBy>
  <dcterms:modified xsi:type="dcterms:W3CDTF">2019-07-12T09:39:20Z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